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22"/>
          <w:lang w:val="en-US" w:eastAsia="zh-CN"/>
        </w:rPr>
      </w:pPr>
      <w:r>
        <w:rPr>
          <w:rFonts w:hint="eastAsia" w:ascii="仿宋" w:hAnsi="仿宋" w:eastAsia="仿宋" w:cs="仿宋"/>
          <w:sz w:val="32"/>
          <w:szCs w:val="22"/>
          <w:lang w:eastAsia="zh-CN"/>
        </w:rPr>
        <w:t>附件</w:t>
      </w:r>
      <w:r>
        <w:rPr>
          <w:rFonts w:hint="eastAsia" w:ascii="仿宋" w:hAnsi="仿宋" w:eastAsia="仿宋" w:cs="仿宋"/>
          <w:sz w:val="32"/>
          <w:szCs w:val="22"/>
          <w:lang w:val="en-US" w:eastAsia="zh-CN"/>
        </w:rPr>
        <w:t>2</w:t>
      </w: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仿宋" w:hAnsi="仿宋" w:eastAsia="仿宋" w:cs="仿宋"/>
          <w:sz w:val="32"/>
          <w:szCs w:val="22"/>
          <w:lang w:val="en-US" w:eastAsia="zh-CN"/>
        </w:rPr>
      </w:pPr>
    </w:p>
    <w:p>
      <w:pPr>
        <w:jc w:val="center"/>
        <w:rPr>
          <w:rFonts w:ascii="Times New Roman" w:hAnsi="Times New Roman" w:eastAsia="方正小标宋简体" w:cs="Times New Roman"/>
          <w:b/>
          <w:bCs/>
          <w:sz w:val="36"/>
          <w:szCs w:val="24"/>
        </w:rPr>
      </w:pPr>
      <w:bookmarkStart w:id="0" w:name="_GoBack"/>
      <w:r>
        <w:rPr>
          <w:rFonts w:ascii="Times New Roman" w:hAnsi="Times New Roman" w:eastAsia="方正小标宋简体" w:cs="Times New Roman"/>
          <w:b/>
          <w:bCs/>
          <w:sz w:val="36"/>
          <w:szCs w:val="24"/>
        </w:rPr>
        <w:t>第一批重点监控合理用药药品（化药及生物制品）</w:t>
      </w:r>
    </w:p>
    <w:p>
      <w:pPr>
        <w:jc w:val="center"/>
        <w:rPr>
          <w:rFonts w:ascii="Times New Roman" w:hAnsi="Times New Roman" w:eastAsia="方正小标宋简体" w:cs="Times New Roman"/>
          <w:b/>
          <w:bCs/>
          <w:sz w:val="36"/>
          <w:szCs w:val="24"/>
        </w:rPr>
      </w:pPr>
      <w:r>
        <w:rPr>
          <w:rFonts w:ascii="Times New Roman" w:hAnsi="Times New Roman" w:eastAsia="方正小标宋简体" w:cs="Times New Roman"/>
          <w:b/>
          <w:bCs/>
          <w:sz w:val="36"/>
          <w:szCs w:val="24"/>
        </w:rPr>
        <w:t>临床使用管理细则</w:t>
      </w:r>
    </w:p>
    <w:bookmarkEnd w:id="0"/>
    <w:p>
      <w:pPr>
        <w:spacing w:line="500" w:lineRule="exact"/>
        <w:contextualSpacing/>
        <w:jc w:val="center"/>
        <w:rPr>
          <w:rFonts w:ascii="Times New Roman" w:hAnsi="Times New Roman" w:eastAsia="方正小标宋简体" w:cs="Times New Roman"/>
          <w:sz w:val="32"/>
          <w:szCs w:val="28"/>
        </w:rPr>
      </w:pPr>
      <w:r>
        <w:rPr>
          <w:rFonts w:ascii="Times New Roman" w:hAnsi="Times New Roman" w:eastAsia="方正小标宋简体" w:cs="Times New Roman"/>
          <w:sz w:val="32"/>
          <w:szCs w:val="28"/>
        </w:rPr>
        <w:t>神经节苷脂临床使用管理细则</w:t>
      </w:r>
    </w:p>
    <w:tbl>
      <w:tblPr>
        <w:tblStyle w:val="4"/>
        <w:tblpPr w:leftFromText="180" w:rightFromText="180" w:vertAnchor="text" w:horzAnchor="page" w:tblpX="1293" w:tblpY="310"/>
        <w:tblOverlap w:val="never"/>
        <w:tblW w:w="94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3"/>
        <w:gridCol w:w="80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适应症</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用于治疗血管性或外伤性中枢神经系统损伤；帕金森氏病。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证据说明</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《中国急性缺血性脑卒中诊治指南2018》未收录；</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《中国脑出血诊治指南2014》未收录；</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《中国颅脑创伤病人脑保护药物治疗指南2008》未收录；</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《中国痴呆与认知障碍诊治指南2018》未收录；</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《中国特发性面神经麻痹诊治指南2016》未收录；</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《中国帕金森病治疗指南（第三版）》</w:t>
            </w:r>
            <w:r>
              <w:rPr>
                <w:rFonts w:ascii="Times New Roman" w:hAnsi="Times New Roman" w:eastAsia="仿宋_GB2312" w:cs="Times New Roman"/>
                <w:color w:val="000000" w:themeColor="text1"/>
                <w:sz w:val="28"/>
                <w:szCs w:val="28"/>
                <w14:textFill>
                  <w14:solidFill>
                    <w14:schemeClr w14:val="tx1"/>
                  </w14:solidFill>
                </w14:textFill>
              </w:rPr>
              <w:t>未收录；</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《临床诊疗指南癫痫分册2015修订版》</w:t>
            </w:r>
            <w:r>
              <w:rPr>
                <w:rFonts w:ascii="Times New Roman" w:hAnsi="Times New Roman" w:eastAsia="仿宋_GB2312" w:cs="Times New Roman"/>
                <w:color w:val="000000" w:themeColor="text1"/>
                <w:sz w:val="28"/>
                <w:szCs w:val="28"/>
                <w14:textFill>
                  <w14:solidFill>
                    <w14:schemeClr w14:val="tx1"/>
                  </w14:solidFill>
                </w14:textFill>
              </w:rPr>
              <w:t>未收录；</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《美国卒中协会/美国心脏协会急性缺血性卒中患者早期管理指南2018》未收录。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推荐意见</w:t>
            </w:r>
          </w:p>
        </w:tc>
        <w:tc>
          <w:tcPr>
            <w:tcW w:w="808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不推荐</w:t>
            </w:r>
            <w:r>
              <w:rPr>
                <w:rFonts w:hint="eastAsia" w:ascii="Times New Roman" w:hAnsi="Times New Roman" w:eastAsia="仿宋_GB2312" w:cs="Times New Roman"/>
                <w:color w:val="000000" w:themeColor="text1"/>
                <w:sz w:val="28"/>
                <w:szCs w:val="28"/>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管理要求</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u w:val="wave" w:color="FF0000"/>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一</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u w:val="wave" w:color="FF0000"/>
                <w14:textFill>
                  <w14:solidFill>
                    <w14:schemeClr w14:val="tx1"/>
                  </w14:solidFill>
                </w14:textFill>
              </w:rPr>
              <w:t>本类药品（脑苷肌肽注射剂、复方脑肽节苷酯注射剂、复方曲肽注射剂、神经节苷酯口服液等）如需使用，需会诊、由主管院长签字确认，并建立使用信息登记表；</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二</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u w:val="wave" w:color="FF0000"/>
                <w14:textFill>
                  <w14:solidFill>
                    <w14:schemeClr w14:val="tx1"/>
                  </w14:solidFill>
                </w14:textFill>
              </w:rPr>
              <w:t>本类药品不得外购，如需外购，需由主管院长签字确认。</w:t>
            </w:r>
          </w:p>
        </w:tc>
      </w:tr>
    </w:tbl>
    <w:p>
      <w:pPr>
        <w:spacing w:line="500" w:lineRule="exact"/>
        <w:contextualSpacing/>
        <w:jc w:val="center"/>
        <w:rPr>
          <w:rFonts w:hint="eastAsia" w:ascii="Times New Roman" w:hAnsi="Times New Roman" w:eastAsia="方正小标宋简体" w:cs="Times New Roman"/>
          <w:sz w:val="32"/>
          <w:szCs w:val="28"/>
          <w:lang w:eastAsia="zh-CN"/>
        </w:rPr>
      </w:pPr>
    </w:p>
    <w:p>
      <w:pPr>
        <w:spacing w:line="500" w:lineRule="exact"/>
        <w:contextualSpacing/>
        <w:jc w:val="center"/>
        <w:rPr>
          <w:rFonts w:ascii="Times New Roman" w:hAnsi="Times New Roman" w:eastAsia="方正小标宋简体" w:cs="Times New Roman"/>
          <w:sz w:val="32"/>
          <w:szCs w:val="28"/>
        </w:rPr>
      </w:pPr>
      <w:r>
        <w:rPr>
          <w:rFonts w:ascii="Times New Roman" w:hAnsi="Times New Roman" w:eastAsia="方正小标宋简体" w:cs="Times New Roman"/>
          <w:sz w:val="32"/>
          <w:szCs w:val="28"/>
        </w:rPr>
        <w:t>磷酸肌酸钠临床使用管理细则</w:t>
      </w:r>
    </w:p>
    <w:tbl>
      <w:tblPr>
        <w:tblStyle w:val="4"/>
        <w:tblpPr w:leftFromText="180" w:rightFromText="180" w:vertAnchor="text" w:horzAnchor="page" w:tblpX="1293" w:tblpY="310"/>
        <w:tblOverlap w:val="never"/>
        <w:tblW w:w="94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3"/>
        <w:gridCol w:w="80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适应症</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心脏手术时加入心脏停搏液中保护心肌；心力衰竭致缺血状态下的心肌代谢异常。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证据说明</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中华医学会心血管病学分会，《中国心力衰竭诊断和治疗指南2018》收录：有研究显示使用改善心肌能量代谢的药物，如曲美他嗪、辅酶Q10、辅酶I、左卡尼汀、磷酸肌酸等可以改善患者症状和心脏功能，改善生活质量，但对远期预后的影响尚需进一步研究；</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国家卫生计生委医政医管局，</w:t>
            </w:r>
            <w:r>
              <w:rPr>
                <w:rFonts w:ascii="Times New Roman" w:hAnsi="Times New Roman" w:eastAsia="仿宋_GB2312" w:cs="Times New Roman"/>
                <w:sz w:val="28"/>
                <w:szCs w:val="28"/>
              </w:rPr>
              <w:t>《心肌炎临床路径县级医院2017年版》收录：供给能量的药物，根据病情可考虑选用辅酶Q10，肌酸磷酸钠、左卡尼汀等；</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《中国扩张型心肌病诊断和治疗指南2018》未收录。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推荐意见</w:t>
            </w:r>
          </w:p>
        </w:tc>
        <w:tc>
          <w:tcPr>
            <w:tcW w:w="808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一、心脏手术时加入心脏停搏液中保护心肌</w:t>
            </w:r>
            <w:r>
              <w:rPr>
                <w:rFonts w:hint="eastAsia" w:ascii="Times New Roman" w:hAnsi="Times New Roman" w:eastAsia="仿宋_GB2312" w:cs="Times New Roman"/>
                <w:b/>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二、心力衰竭致缺血状态下的心肌代谢异常可酌情使用</w:t>
            </w:r>
            <w:r>
              <w:rPr>
                <w:rFonts w:hint="eastAsia" w:ascii="Times New Roman" w:hAnsi="Times New Roman" w:eastAsia="仿宋_GB2312" w:cs="Times New Roman"/>
                <w:b/>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b/>
                <w:sz w:val="28"/>
                <w:szCs w:val="28"/>
              </w:rPr>
            </w:pPr>
            <w:r>
              <w:rPr>
                <w:rFonts w:ascii="Times New Roman" w:hAnsi="Times New Roman" w:eastAsia="仿宋_GB2312" w:cs="Times New Roman"/>
                <w:sz w:val="28"/>
                <w:szCs w:val="28"/>
              </w:rPr>
              <w:t>大剂量使用磷酸肌酸钠时</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仅可短期使用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而其它常规剂量使用时，疗程为7—14天</w:t>
            </w:r>
            <w:r>
              <w:rPr>
                <w:rFonts w:hint="eastAsia" w:ascii="Times New Roman" w:hAnsi="Times New Roman" w:eastAsia="仿宋_GB2312" w:cs="Times New Roman"/>
                <w:b/>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三、</w:t>
            </w:r>
            <w:r>
              <w:rPr>
                <w:rFonts w:hint="eastAsia" w:ascii="Times New Roman" w:hAnsi="Times New Roman" w:eastAsia="仿宋_GB2312" w:cs="Times New Roman"/>
                <w:b/>
                <w:sz w:val="28"/>
                <w:szCs w:val="28"/>
              </w:rPr>
              <w:t>县级医院收治</w:t>
            </w:r>
            <w:r>
              <w:rPr>
                <w:rFonts w:ascii="Times New Roman" w:hAnsi="Times New Roman" w:eastAsia="仿宋_GB2312" w:cs="Times New Roman"/>
                <w:b/>
                <w:sz w:val="28"/>
                <w:szCs w:val="28"/>
              </w:rPr>
              <w:t>的纳入临床路径管理的心肌炎</w:t>
            </w:r>
            <w:r>
              <w:rPr>
                <w:rFonts w:hint="eastAsia" w:ascii="Times New Roman" w:hAnsi="Times New Roman" w:eastAsia="仿宋_GB2312" w:cs="Times New Roman"/>
                <w:b/>
                <w:sz w:val="28"/>
                <w:szCs w:val="28"/>
              </w:rPr>
              <w:t>患者</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可</w:t>
            </w:r>
            <w:r>
              <w:rPr>
                <w:rFonts w:ascii="Times New Roman" w:hAnsi="Times New Roman" w:eastAsia="仿宋_GB2312" w:cs="Times New Roman"/>
                <w:b/>
                <w:sz w:val="28"/>
                <w:szCs w:val="28"/>
              </w:rPr>
              <w:t>考虑使用。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管理要求</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sz w:val="28"/>
                <w:szCs w:val="28"/>
                <w:u w:val="wave" w:color="FF0000"/>
              </w:rPr>
            </w:pPr>
            <w:r>
              <w:rPr>
                <w:rFonts w:hint="eastAsia" w:ascii="Times New Roman" w:hAnsi="Times New Roman" w:eastAsia="仿宋_GB2312" w:cs="Times New Roman"/>
                <w:sz w:val="28"/>
                <w:szCs w:val="28"/>
              </w:rPr>
              <w:t>一</w:t>
            </w:r>
            <w:r>
              <w:rPr>
                <w:rFonts w:ascii="Times New Roman" w:hAnsi="Times New Roman" w:eastAsia="仿宋_GB2312" w:cs="Times New Roman"/>
                <w:sz w:val="28"/>
                <w:szCs w:val="28"/>
              </w:rPr>
              <w:t>、</w:t>
            </w:r>
            <w:r>
              <w:rPr>
                <w:rFonts w:ascii="Times New Roman" w:hAnsi="Times New Roman" w:eastAsia="仿宋_GB2312" w:cs="Times New Roman"/>
                <w:sz w:val="28"/>
                <w:szCs w:val="28"/>
                <w:u w:val="wave" w:color="FF0000"/>
              </w:rPr>
              <w:t>出现心力衰竭致缺血状态下的心肌代谢异常时，建议选用</w:t>
            </w:r>
            <w:r>
              <w:rPr>
                <w:rFonts w:hint="eastAsia" w:ascii="仿宋_GB2312" w:hAnsi="Times New Roman" w:eastAsia="仿宋_GB2312" w:cs="Times New Roman"/>
                <w:kern w:val="0"/>
                <w:sz w:val="28"/>
                <w:szCs w:val="28"/>
                <w:u w:val="wave" w:color="FF0000"/>
              </w:rPr>
              <w:t>指南中</w:t>
            </w:r>
            <w:r>
              <w:rPr>
                <w:rFonts w:ascii="仿宋_GB2312" w:hAnsi="Times New Roman" w:eastAsia="仿宋_GB2312" w:cs="Times New Roman"/>
                <w:kern w:val="0"/>
                <w:sz w:val="28"/>
                <w:szCs w:val="28"/>
                <w:u w:val="wave" w:color="FF0000"/>
              </w:rPr>
              <w:t>提及的</w:t>
            </w:r>
            <w:r>
              <w:rPr>
                <w:rFonts w:hint="eastAsia" w:ascii="仿宋_GB2312" w:hAnsi="Times New Roman" w:eastAsia="仿宋_GB2312" w:cs="Times New Roman"/>
                <w:kern w:val="0"/>
                <w:sz w:val="28"/>
                <w:szCs w:val="28"/>
                <w:u w:val="wave" w:color="FF0000"/>
              </w:rPr>
              <w:t>国家</w:t>
            </w:r>
            <w:r>
              <w:rPr>
                <w:rFonts w:ascii="仿宋_GB2312" w:hAnsi="Times New Roman" w:eastAsia="仿宋_GB2312" w:cs="Times New Roman"/>
                <w:kern w:val="0"/>
                <w:sz w:val="28"/>
                <w:szCs w:val="28"/>
                <w:u w:val="wave" w:color="FF0000"/>
              </w:rPr>
              <w:t>基本药物</w:t>
            </w:r>
            <w:r>
              <w:rPr>
                <w:rFonts w:hint="eastAsia" w:ascii="仿宋_GB2312" w:hAnsi="Times New Roman" w:eastAsia="仿宋_GB2312" w:cs="Times New Roman"/>
                <w:kern w:val="0"/>
                <w:sz w:val="28"/>
                <w:szCs w:val="28"/>
                <w:u w:val="wave" w:color="FF0000"/>
              </w:rPr>
              <w:t>；</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w:t>
            </w:r>
            <w:r>
              <w:rPr>
                <w:rFonts w:ascii="Times New Roman" w:hAnsi="Times New Roman" w:eastAsia="仿宋_GB2312" w:cs="Times New Roman"/>
                <w:sz w:val="28"/>
                <w:szCs w:val="28"/>
                <w:u w:val="wave" w:color="FF0000"/>
              </w:rPr>
              <w:t>本药品不得外购，如需外购，需由主管院长签字确认。</w:t>
            </w:r>
          </w:p>
        </w:tc>
      </w:tr>
    </w:tbl>
    <w:p>
      <w:pPr>
        <w:spacing w:line="500" w:lineRule="exact"/>
        <w:contextualSpacing/>
        <w:jc w:val="center"/>
        <w:rPr>
          <w:rFonts w:ascii="Times New Roman" w:hAnsi="Times New Roman" w:eastAsia="方正小标宋简体" w:cs="Times New Roman"/>
          <w:sz w:val="32"/>
          <w:szCs w:val="28"/>
        </w:rPr>
      </w:pPr>
    </w:p>
    <w:p>
      <w:pPr>
        <w:spacing w:line="500" w:lineRule="exact"/>
        <w:contextualSpacing/>
        <w:jc w:val="center"/>
        <w:rPr>
          <w:rFonts w:ascii="Times New Roman" w:hAnsi="Times New Roman" w:eastAsia="方正小标宋简体" w:cs="Times New Roman"/>
          <w:sz w:val="32"/>
          <w:szCs w:val="28"/>
        </w:rPr>
      </w:pPr>
      <w:r>
        <w:rPr>
          <w:rFonts w:ascii="Times New Roman" w:hAnsi="Times New Roman" w:eastAsia="方正小标宋简体" w:cs="Times New Roman"/>
          <w:sz w:val="32"/>
          <w:szCs w:val="28"/>
        </w:rPr>
        <w:t>转化糖电解质临床使用管理细则</w:t>
      </w:r>
    </w:p>
    <w:tbl>
      <w:tblPr>
        <w:tblStyle w:val="4"/>
        <w:tblpPr w:leftFromText="180" w:rightFromText="180" w:vertAnchor="text" w:horzAnchor="page" w:tblpX="1293" w:tblpY="310"/>
        <w:tblOverlap w:val="never"/>
        <w:tblW w:w="94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3"/>
        <w:gridCol w:w="80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适应症</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适用于需要非口服途径补充水分或能源及电解质的患者的补液治疗。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证据说明</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《中国严重脓毒症/脓毒性休克治疗指南2014》未收录；</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《小儿围术期液体和输血管理指南2017》未收录；</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w:t>
            </w:r>
            <w:r>
              <w:fldChar w:fldCharType="begin"/>
            </w:r>
            <w:r>
              <w:instrText xml:space="preserve"> HYPERLINK "http://www.medlive.cn/redirect.php?resource=guide_relatedguide&amp;index=1&amp;url=http%3A%2F%2Fguide.medlive.cn%2Fguideline%2F9325" \t "_blank" </w:instrText>
            </w:r>
            <w:r>
              <w:fldChar w:fldCharType="separate"/>
            </w:r>
            <w:r>
              <w:rPr>
                <w:rFonts w:ascii="Times New Roman" w:hAnsi="Times New Roman" w:eastAsia="仿宋_GB2312" w:cs="Times New Roman"/>
                <w:sz w:val="28"/>
                <w:szCs w:val="28"/>
              </w:rPr>
              <w:t>外科病人围手术期液体治疗专家共识2015</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t>》未收录；</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《剖宫产手术的专家共识2014》未收录；</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《麻醉手术期间液体治疗专家共识2014》未收录。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推荐意见</w:t>
            </w:r>
          </w:p>
        </w:tc>
        <w:tc>
          <w:tcPr>
            <w:tcW w:w="808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不推荐</w:t>
            </w:r>
            <w:r>
              <w:rPr>
                <w:rFonts w:hint="eastAsia" w:ascii="Times New Roman" w:hAnsi="Times New Roman" w:eastAsia="仿宋_GB2312" w:cs="Times New Roman"/>
                <w:color w:val="000000" w:themeColor="text1"/>
                <w:sz w:val="28"/>
                <w:szCs w:val="28"/>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管理要求</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一</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u w:val="wave" w:color="FF0000"/>
                <w14:textFill>
                  <w14:solidFill>
                    <w14:schemeClr w14:val="tx1"/>
                  </w14:solidFill>
                </w14:textFill>
              </w:rPr>
              <w:t>禁止其作为药物溶媒使用；</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二</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u w:val="wave" w:color="FF0000"/>
                <w14:textFill>
                  <w14:solidFill>
                    <w14:schemeClr w14:val="tx1"/>
                  </w14:solidFill>
                </w14:textFill>
              </w:rPr>
              <w:t>本类药品（混合糖电解质注射剂等）如需使用，需会诊、由主管院长签字确认，并建立使用信息登记表</w:t>
            </w:r>
            <w:r>
              <w:rPr>
                <w:rFonts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三</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u w:val="wave" w:color="FF0000"/>
                <w14:textFill>
                  <w14:solidFill>
                    <w14:schemeClr w14:val="tx1"/>
                  </w14:solidFill>
                </w14:textFill>
              </w:rPr>
              <w:t>本类药品不得外购，如需外购，需由主管院长签字确认。</w:t>
            </w:r>
          </w:p>
        </w:tc>
      </w:tr>
    </w:tbl>
    <w:p>
      <w:pPr>
        <w:jc w:val="left"/>
        <w:rPr>
          <w:rFonts w:ascii="Times New Roman" w:hAnsi="Times New Roman" w:eastAsia="华文仿宋" w:cs="Times New Roman"/>
          <w:sz w:val="28"/>
          <w:szCs w:val="28"/>
        </w:rPr>
      </w:pPr>
    </w:p>
    <w:p>
      <w:pPr>
        <w:spacing w:line="500" w:lineRule="exact"/>
        <w:contextualSpacing/>
        <w:jc w:val="center"/>
        <w:rPr>
          <w:rFonts w:ascii="Times New Roman" w:hAnsi="Times New Roman" w:eastAsia="方正小标宋简体" w:cs="Times New Roman"/>
          <w:sz w:val="32"/>
          <w:szCs w:val="28"/>
        </w:rPr>
      </w:pPr>
      <w:r>
        <w:rPr>
          <w:rFonts w:ascii="Times New Roman" w:hAnsi="Times New Roman" w:eastAsia="方正小标宋简体" w:cs="Times New Roman"/>
          <w:sz w:val="32"/>
          <w:szCs w:val="28"/>
        </w:rPr>
        <w:t>鼠神经生长因子临床使用管理细则</w:t>
      </w:r>
    </w:p>
    <w:tbl>
      <w:tblPr>
        <w:tblStyle w:val="4"/>
        <w:tblpPr w:leftFromText="180" w:rightFromText="180" w:vertAnchor="text" w:horzAnchor="page" w:tblpX="1293" w:tblpY="310"/>
        <w:tblOverlap w:val="never"/>
        <w:tblW w:w="94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3"/>
        <w:gridCol w:w="80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适应症</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用于治疗正己烷中毒性周围神经病；</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用于治疗视神经损伤。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证据说明</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《中国急性缺血性脑卒中诊治指南2018》未收录；</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《美国AHA/ASA脑卒中指南2018》未收录；</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《美国AHA／ASA科学声明：新生儿和儿童卒中的管理 2019》未收录。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推荐意见</w:t>
            </w:r>
          </w:p>
        </w:tc>
        <w:tc>
          <w:tcPr>
            <w:tcW w:w="808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不推荐</w:t>
            </w:r>
            <w:r>
              <w:rPr>
                <w:rFonts w:hint="eastAsia" w:ascii="Times New Roman" w:hAnsi="Times New Roman" w:eastAsia="仿宋_GB2312" w:cs="Times New Roman"/>
                <w:color w:val="000000" w:themeColor="text1"/>
                <w:sz w:val="28"/>
                <w:szCs w:val="28"/>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管理要求</w:t>
            </w:r>
          </w:p>
        </w:tc>
        <w:tc>
          <w:tcPr>
            <w:tcW w:w="8080" w:type="dxa"/>
          </w:tcPr>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u w:val="wave" w:color="FF0000"/>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一</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u w:val="wave" w:color="FF0000"/>
                <w14:textFill>
                  <w14:solidFill>
                    <w14:schemeClr w14:val="tx1"/>
                  </w14:solidFill>
                </w14:textFill>
              </w:rPr>
              <w:t>本药品如需使用，需会诊、由主管院长签字确认，并建立使用信息登记表；</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二</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u w:val="wave" w:color="FF0000"/>
                <w14:textFill>
                  <w14:solidFill>
                    <w14:schemeClr w14:val="tx1"/>
                  </w14:solidFill>
                </w14:textFill>
              </w:rPr>
              <w:t>本药品不得外购，如需外购，需由主管院长签字确认。</w:t>
            </w:r>
          </w:p>
        </w:tc>
      </w:tr>
    </w:tbl>
    <w:p>
      <w:pPr>
        <w:jc w:val="left"/>
        <w:rPr>
          <w:rFonts w:ascii="Times New Roman" w:hAnsi="Times New Roman" w:eastAsia="华文仿宋" w:cs="Times New Roman"/>
          <w:sz w:val="28"/>
          <w:szCs w:val="28"/>
        </w:rPr>
      </w:pPr>
    </w:p>
    <w:p>
      <w:pPr>
        <w:spacing w:line="500" w:lineRule="exact"/>
        <w:contextualSpacing/>
        <w:jc w:val="center"/>
        <w:rPr>
          <w:rFonts w:ascii="Times New Roman" w:hAnsi="Times New Roman" w:eastAsia="方正小标宋简体" w:cs="Times New Roman"/>
          <w:sz w:val="32"/>
          <w:szCs w:val="28"/>
        </w:rPr>
      </w:pPr>
    </w:p>
    <w:p>
      <w:pPr>
        <w:spacing w:line="500" w:lineRule="exact"/>
        <w:contextualSpacing/>
        <w:jc w:val="center"/>
        <w:rPr>
          <w:rFonts w:ascii="Times New Roman" w:hAnsi="Times New Roman" w:eastAsia="方正小标宋简体" w:cs="Times New Roman"/>
          <w:sz w:val="32"/>
          <w:szCs w:val="28"/>
        </w:rPr>
      </w:pPr>
    </w:p>
    <w:p>
      <w:pPr>
        <w:spacing w:line="500" w:lineRule="exact"/>
        <w:contextualSpacing/>
        <w:jc w:val="center"/>
        <w:rPr>
          <w:rFonts w:ascii="Times New Roman" w:hAnsi="Times New Roman" w:eastAsia="方正小标宋简体" w:cs="Times New Roman"/>
          <w:sz w:val="32"/>
          <w:szCs w:val="28"/>
        </w:rPr>
      </w:pPr>
      <w:r>
        <w:rPr>
          <w:rFonts w:ascii="Times New Roman" w:hAnsi="Times New Roman" w:eastAsia="方正小标宋简体" w:cs="Times New Roman"/>
          <w:sz w:val="32"/>
          <w:szCs w:val="28"/>
        </w:rPr>
        <w:t>质子泵抑制剂临床使用管理细则</w:t>
      </w:r>
    </w:p>
    <w:tbl>
      <w:tblPr>
        <w:tblStyle w:val="4"/>
        <w:tblpPr w:leftFromText="180" w:rightFromText="180" w:vertAnchor="text" w:horzAnchor="page" w:tblpX="1293" w:tblpY="310"/>
        <w:tblOverlap w:val="never"/>
        <w:tblW w:w="94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3"/>
        <w:gridCol w:w="80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适应症</w:t>
            </w:r>
          </w:p>
        </w:tc>
        <w:tc>
          <w:tcPr>
            <w:tcW w:w="808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一、说明书适应症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1.</w:t>
            </w:r>
            <w:r>
              <w:rPr>
                <w:rFonts w:eastAsia="仿宋_GB2312"/>
                <w:color w:val="000000" w:themeColor="text1"/>
                <w:sz w:val="28"/>
                <w:szCs w:val="28"/>
                <w14:textFill>
                  <w14:solidFill>
                    <w14:schemeClr w14:val="tx1"/>
                  </w14:solidFill>
                </w14:textFill>
              </w:rPr>
              <w:t>消化性溃疡；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2.</w:t>
            </w:r>
            <w:r>
              <w:rPr>
                <w:rFonts w:eastAsia="仿宋_GB2312"/>
                <w:color w:val="000000" w:themeColor="text1"/>
                <w:sz w:val="28"/>
                <w:szCs w:val="28"/>
                <w14:textFill>
                  <w14:solidFill>
                    <w14:schemeClr w14:val="tx1"/>
                  </w14:solidFill>
                </w14:textFill>
              </w:rPr>
              <w:t>消化性溃疡出血、吻合口溃疡出血；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3.</w:t>
            </w:r>
            <w:r>
              <w:rPr>
                <w:rFonts w:eastAsia="仿宋_GB2312"/>
                <w:color w:val="000000" w:themeColor="text1"/>
                <w:sz w:val="28"/>
                <w:szCs w:val="28"/>
                <w14:textFill>
                  <w14:solidFill>
                    <w14:schemeClr w14:val="tx1"/>
                  </w14:solidFill>
                </w14:textFill>
              </w:rPr>
              <w:t>胃食管反流病；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4.</w:t>
            </w:r>
            <w:r>
              <w:rPr>
                <w:rFonts w:eastAsia="仿宋_GB2312"/>
                <w:color w:val="000000" w:themeColor="text1"/>
                <w:sz w:val="28"/>
                <w:szCs w:val="28"/>
                <w14:textFill>
                  <w14:solidFill>
                    <w14:schemeClr w14:val="tx1"/>
                  </w14:solidFill>
                </w14:textFill>
              </w:rPr>
              <w:t>胃泌素瘤；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5.</w:t>
            </w:r>
            <w:r>
              <w:rPr>
                <w:rFonts w:eastAsia="仿宋_GB2312"/>
                <w:color w:val="000000" w:themeColor="text1"/>
                <w:sz w:val="28"/>
                <w:szCs w:val="28"/>
                <w14:textFill>
                  <w14:solidFill>
                    <w14:schemeClr w14:val="tx1"/>
                  </w14:solidFill>
                </w14:textFill>
              </w:rPr>
              <w:t>幽门螺杆菌感染；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6.</w:t>
            </w:r>
            <w:r>
              <w:rPr>
                <w:rFonts w:eastAsia="仿宋_GB2312"/>
                <w:color w:val="000000" w:themeColor="text1"/>
                <w:sz w:val="28"/>
                <w:szCs w:val="28"/>
                <w14:textFill>
                  <w14:solidFill>
                    <w14:schemeClr w14:val="tx1"/>
                  </w14:solidFill>
                </w14:textFill>
              </w:rPr>
              <w:t>酸相关性消化不良；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7.</w:t>
            </w:r>
            <w:r>
              <w:rPr>
                <w:rFonts w:eastAsia="仿宋_GB2312"/>
                <w:color w:val="000000" w:themeColor="text1"/>
                <w:sz w:val="28"/>
                <w:szCs w:val="28"/>
                <w14:textFill>
                  <w14:solidFill>
                    <w14:schemeClr w14:val="tx1"/>
                  </w14:solidFill>
                </w14:textFill>
              </w:rPr>
              <w:t>非甾体类抗炎药引起的急性胃黏膜损伤；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8.</w:t>
            </w:r>
            <w:r>
              <w:rPr>
                <w:rFonts w:eastAsia="仿宋_GB2312"/>
                <w:color w:val="000000" w:themeColor="text1"/>
                <w:sz w:val="28"/>
                <w:szCs w:val="28"/>
                <w14:textFill>
                  <w14:solidFill>
                    <w14:schemeClr w14:val="tx1"/>
                  </w14:solidFill>
                </w14:textFill>
              </w:rPr>
              <w:t>预防重症疾病（如脑出血、严重创伤等）应激状态及胃手术后引起的上消化道出血。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二、超说明书适应症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1.</w:t>
            </w:r>
            <w:r>
              <w:rPr>
                <w:rFonts w:eastAsia="仿宋_GB2312"/>
                <w:color w:val="000000" w:themeColor="text1"/>
                <w:sz w:val="28"/>
                <w:szCs w:val="28"/>
                <w14:textFill>
                  <w14:solidFill>
                    <w14:schemeClr w14:val="tx1"/>
                  </w14:solidFill>
                </w14:textFill>
              </w:rPr>
              <w:t>急性食管胃静脉曲张出血合并胃黏膜病变或内镜治疗后的辅助治疗；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2.</w:t>
            </w:r>
            <w:r>
              <w:rPr>
                <w:rFonts w:eastAsia="仿宋_GB2312"/>
                <w:color w:val="000000" w:themeColor="text1"/>
                <w:sz w:val="28"/>
                <w:szCs w:val="28"/>
                <w14:textFill>
                  <w14:solidFill>
                    <w14:schemeClr w14:val="tx1"/>
                  </w14:solidFill>
                </w14:textFill>
              </w:rPr>
              <w:t>胃ESD术后预防出血和促进人工溃疡愈合；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3.</w:t>
            </w:r>
            <w:r>
              <w:rPr>
                <w:rFonts w:eastAsia="仿宋_GB2312"/>
                <w:color w:val="000000" w:themeColor="text1"/>
                <w:sz w:val="28"/>
                <w:szCs w:val="28"/>
                <w14:textFill>
                  <w14:solidFill>
                    <w14:schemeClr w14:val="tx1"/>
                  </w14:solidFill>
                </w14:textFill>
              </w:rPr>
              <w:t>预防抗血小板药物消化道损伤；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4.</w:t>
            </w:r>
            <w:r>
              <w:rPr>
                <w:rFonts w:eastAsia="仿宋_GB2312"/>
                <w:color w:val="000000" w:themeColor="text1"/>
                <w:sz w:val="28"/>
                <w:szCs w:val="28"/>
                <w14:textFill>
                  <w14:solidFill>
                    <w14:schemeClr w14:val="tx1"/>
                  </w14:solidFill>
                </w14:textFill>
              </w:rPr>
              <w:t>预防化疗所致呕吐；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5.预</w:t>
            </w:r>
            <w:r>
              <w:rPr>
                <w:rFonts w:eastAsia="仿宋_GB2312"/>
                <w:color w:val="000000" w:themeColor="text1"/>
                <w:sz w:val="28"/>
                <w:szCs w:val="28"/>
                <w14:textFill>
                  <w14:solidFill>
                    <w14:schemeClr w14:val="tx1"/>
                  </w14:solidFill>
                </w14:textFill>
              </w:rPr>
              <w:t>防大剂量糖皮质激素使用引起的胃粘膜损伤；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6.</w:t>
            </w:r>
            <w:r>
              <w:rPr>
                <w:rFonts w:eastAsia="仿宋_GB2312"/>
                <w:color w:val="000000" w:themeColor="text1"/>
                <w:sz w:val="28"/>
                <w:szCs w:val="28"/>
                <w14:textFill>
                  <w14:solidFill>
                    <w14:schemeClr w14:val="tx1"/>
                  </w14:solidFill>
                </w14:textFill>
              </w:rPr>
              <w:t>急性胰腺炎。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证据说明</w:t>
            </w:r>
          </w:p>
        </w:tc>
        <w:tc>
          <w:tcPr>
            <w:tcW w:w="808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eastAsia="仿宋_GB2312"/>
                <w:b/>
                <w:sz w:val="28"/>
                <w:szCs w:val="28"/>
              </w:rPr>
            </w:pPr>
            <w:r>
              <w:rPr>
                <w:rFonts w:hint="eastAsia" w:eastAsia="仿宋_GB2312"/>
                <w:b/>
                <w:sz w:val="28"/>
                <w:szCs w:val="28"/>
              </w:rPr>
              <w:t>一、</w:t>
            </w:r>
            <w:r>
              <w:rPr>
                <w:rFonts w:eastAsia="仿宋_GB2312"/>
                <w:b/>
                <w:sz w:val="28"/>
                <w:szCs w:val="28"/>
              </w:rPr>
              <w:t>预防重症疾病（如脑出血、严重创伤等）应激状态及胃手术后引起的上消化道出血等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加拿大急诊护理团队对</w:t>
            </w:r>
            <w:r>
              <w:rPr>
                <w:rFonts w:hint="eastAsia" w:eastAsia="仿宋_GB2312"/>
                <w:color w:val="000000" w:themeColor="text1"/>
                <w:sz w:val="28"/>
                <w:szCs w:val="28"/>
                <w14:textFill>
                  <w14:solidFill>
                    <w14:schemeClr w14:val="tx1"/>
                  </w14:solidFill>
                </w14:textFill>
              </w:rPr>
              <w:t>应激性溃疡（</w:t>
            </w:r>
            <w:r>
              <w:rPr>
                <w:rFonts w:eastAsia="仿宋_GB2312"/>
                <w:color w:val="000000" w:themeColor="text1"/>
                <w:sz w:val="28"/>
                <w:szCs w:val="28"/>
                <w14:textFill>
                  <w14:solidFill>
                    <w14:schemeClr w14:val="tx1"/>
                  </w14:solidFill>
                </w14:textFill>
              </w:rPr>
              <w:t>SU</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进行了一个多中心前瞻性队列研究《Risk factors for gastrointestinal bleeding in critically ill patients. Canadian Critical Care Trials Group》，该研究对 2252 例消化道出血危重患者的出血危险因素单因素回归分析</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其后，国际上所有 SU预防指南均引用该研究成果</w:t>
            </w:r>
            <w:r>
              <w:rPr>
                <w:rFonts w:hint="eastAsia" w:eastAsia="仿宋_GB2312"/>
                <w:color w:val="000000" w:themeColor="text1"/>
                <w:sz w:val="28"/>
                <w:szCs w:val="28"/>
                <w14:textFill>
                  <w14:solidFill>
                    <w14:schemeClr w14:val="tx1"/>
                  </w14:solidFill>
                </w14:textFill>
              </w:rPr>
              <w:t>。</w:t>
            </w:r>
          </w:p>
          <w:p>
            <w:pPr>
              <w:pStyle w:val="2"/>
              <w:spacing w:beforeLines="50"/>
              <w:contextualSpacing/>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ICU危重患者使用药物预防应激性溃疡的指征</w:t>
            </w:r>
          </w:p>
          <w:tbl>
            <w:tblPr>
              <w:tblStyle w:val="3"/>
              <w:tblW w:w="7797"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0"/>
              <w:gridCol w:w="125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6540" w:type="dxa"/>
                  <w:tcBorders>
                    <w:top w:val="single" w:color="auto" w:sz="4" w:space="0"/>
                    <w:bottom w:val="single" w:color="auto" w:sz="4" w:space="0"/>
                  </w:tcBorders>
                  <w:vAlign w:val="center"/>
                </w:tcPr>
                <w:p>
                  <w:pPr>
                    <w:spacing w:line="288" w:lineRule="auto"/>
                    <w:ind w:firstLine="1560" w:firstLineChars="650"/>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危险因素</w:t>
                  </w:r>
                </w:p>
              </w:tc>
              <w:tc>
                <w:tcPr>
                  <w:tcW w:w="1257" w:type="dxa"/>
                  <w:tcBorders>
                    <w:top w:val="single" w:color="auto" w:sz="4" w:space="0"/>
                    <w:bottom w:val="single" w:color="auto" w:sz="4" w:space="0"/>
                  </w:tcBorders>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预防建议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trPr>
              <w:tc>
                <w:tcPr>
                  <w:tcW w:w="6540" w:type="dxa"/>
                  <w:tcBorders>
                    <w:top w:val="dashed" w:color="auto" w:sz="4" w:space="0"/>
                    <w:bottom w:val="dashed" w:color="auto" w:sz="4" w:space="0"/>
                  </w:tcBorders>
                  <w:vAlign w:val="center"/>
                </w:tcPr>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机械通气超过48 h或接受体外生命支持</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凝血机制障碍：[国际标准化比值（INR）&gt;1.5，血小板&lt;50×10</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9</w:t>
                  </w:r>
                  <w:r>
                    <w:rPr>
                      <w:rFonts w:ascii="Times New Roman" w:hAnsi="Times New Roman" w:eastAsia="仿宋_GB2312" w:cs="Times New Roman"/>
                      <w:color w:val="000000" w:themeColor="text1"/>
                      <w:kern w:val="0"/>
                      <w:sz w:val="24"/>
                      <w:szCs w:val="24"/>
                      <w14:textFill>
                        <w14:solidFill>
                          <w14:schemeClr w14:val="tx1"/>
                        </w14:solidFill>
                      </w14:textFill>
                    </w:rPr>
                    <w:t>/L或部分凝血酶原时间（PTT）&gt;正常值2倍]</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1年内有消化道溃疡或出血病史</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严重颅脑、颈脊髓外伤（Glasgow昏迷指数≤10）</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严重烧伤（烧伤面积&gt;30%）</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严重创伤、多发伤(创伤程度评分≥16)</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各种困难、复杂的手术，如复杂肝脏手术</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r>
                    <w:rPr>
                      <w:rFonts w:ascii="Times New Roman" w:hAnsi="Times New Roman" w:eastAsia="仿宋_GB2312" w:cs="Times New Roman"/>
                      <w:color w:val="000000" w:themeColor="text1"/>
                      <w:kern w:val="0"/>
                      <w:sz w:val="24"/>
                      <w:szCs w:val="24"/>
                      <w14:textFill>
                        <w14:solidFill>
                          <w14:schemeClr w14:val="tx1"/>
                        </w14:solidFill>
                      </w14:textFill>
                    </w:rPr>
                    <w:t>器官移植、手术时间较长（&gt;3h）等</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急性肾功能衰竭或急性肝功能衰竭</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ARDS</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多器官功能不全或衰竭</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休克或持续低血压</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脓毒症</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心脑血管意外（Glasgow昏迷指数≤10）</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严重心理应激，如精神创伤、过度紧张等</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tc>
              <w:tc>
                <w:tcPr>
                  <w:tcW w:w="1257" w:type="dxa"/>
                  <w:tcBorders>
                    <w:bottom w:val="dashed" w:color="auto" w:sz="4" w:space="0"/>
                  </w:tcBorders>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高危因素</w:t>
                  </w:r>
                </w:p>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（符合一项者可使用常规剂量PPI预防SU）</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trPr>
              <w:tc>
                <w:tcPr>
                  <w:tcW w:w="6540" w:type="dxa"/>
                  <w:tcBorders>
                    <w:top w:val="dashed" w:color="auto" w:sz="4" w:space="0"/>
                    <w:bottom w:val="single" w:color="auto" w:sz="4" w:space="0"/>
                  </w:tcBorders>
                  <w:vAlign w:val="center"/>
                </w:tcPr>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ICU住院时间&gt;1周</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粪便隐血持续时间&gt;3 d</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大剂量使用糖皮质激素（剂量&gt;氢化可的松250 mg</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r>
                    <w:rPr>
                      <w:rFonts w:ascii="Times New Roman" w:hAnsi="Times New Roman" w:eastAsia="仿宋_GB2312" w:cs="Times New Roman"/>
                      <w:color w:val="000000" w:themeColor="text1"/>
                      <w:kern w:val="0"/>
                      <w:sz w:val="24"/>
                      <w:szCs w:val="24"/>
                      <w14:textFill>
                        <w14:solidFill>
                          <w14:schemeClr w14:val="tx1"/>
                        </w14:solidFill>
                      </w14:textFill>
                    </w:rPr>
                    <w:t>d）</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p>
                  <w:pPr>
                    <w:spacing w:line="288" w:lineRule="auto"/>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合并使用非甾体类抗炎药（NSAIDs）</w:t>
                  </w:r>
                  <w:r>
                    <w:rPr>
                      <w:rFonts w:hint="eastAsia" w:ascii="Times New Roman" w:hAnsi="Times New Roman" w:eastAsia="仿宋_GB2312" w:cs="Times New Roman"/>
                      <w:color w:val="000000" w:themeColor="text1"/>
                      <w:kern w:val="0"/>
                      <w:sz w:val="24"/>
                      <w:szCs w:val="24"/>
                      <w14:textFill>
                        <w14:solidFill>
                          <w14:schemeClr w14:val="tx1"/>
                        </w14:solidFill>
                      </w14:textFill>
                    </w:rPr>
                    <w:t>。</w:t>
                  </w:r>
                </w:p>
              </w:tc>
              <w:tc>
                <w:tcPr>
                  <w:tcW w:w="1257" w:type="dxa"/>
                  <w:tcBorders>
                    <w:top w:val="dashed" w:color="auto" w:sz="4" w:space="0"/>
                    <w:bottom w:val="single" w:color="auto" w:sz="4" w:space="0"/>
                  </w:tcBorders>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潜在危险因素</w:t>
                  </w:r>
                </w:p>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（符合两项者可使用常规剂量PPI预防SU）</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中华医学会外科学分会，《应激性黏膜病变预防与治疗—中国普通外科专家共识2015》收录</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应激性黏膜病变（SRMD）又称应激性溃疡、急性胃黏膜病变、急性糜烂性胃炎和急性出血性胃炎等，是指机体在严重创伤、复杂手术、危重疾病等严重应激状态下发生的急性消化道黏膜糜烂、溃疡、出血等病变，严重者可导致消化道穿孔使病人全身情况进一步恶化对于非重症病人也应综合评估SRMD的风险，必要时加以预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仿宋_GB2312"/>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SRMD致消化道出血的临床风险评分系统</w:t>
            </w:r>
          </w:p>
          <w:tbl>
            <w:tblPr>
              <w:tblStyle w:val="3"/>
              <w:tblW w:w="786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0"/>
              <w:gridCol w:w="104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20" w:type="dxa"/>
                  <w:tcBorders>
                    <w:top w:val="single" w:color="auto" w:sz="4" w:space="0"/>
                    <w:bottom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危险因素</w:t>
                  </w:r>
                </w:p>
              </w:tc>
              <w:tc>
                <w:tcPr>
                  <w:tcW w:w="1046" w:type="dxa"/>
                  <w:tcBorders>
                    <w:top w:val="single" w:color="auto" w:sz="4" w:space="0"/>
                    <w:bottom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评分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trPr>
              <w:tc>
                <w:tcPr>
                  <w:tcW w:w="6820" w:type="dxa"/>
                  <w:tcBorders>
                    <w:top w:val="single" w:color="auto" w:sz="4" w:space="0"/>
                  </w:tcBorders>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年龄&gt;60岁</w:t>
                  </w:r>
                </w:p>
              </w:tc>
              <w:tc>
                <w:tcPr>
                  <w:tcW w:w="1046" w:type="dxa"/>
                  <w:tcBorders>
                    <w:top w:val="single" w:color="auto" w:sz="4" w:space="0"/>
                  </w:tcBorders>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6820"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男性</w:t>
                  </w:r>
                </w:p>
              </w:tc>
              <w:tc>
                <w:tcPr>
                  <w:tcW w:w="1046"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6820"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急性肾功能不全</w:t>
                  </w:r>
                </w:p>
              </w:tc>
              <w:tc>
                <w:tcPr>
                  <w:tcW w:w="1046"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6820"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肝脏疾病</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1</w:t>
                  </w:r>
                  <w:r>
                    <w:rPr>
                      <w:rFonts w:hint="eastAsia" w:ascii="Times New Roman" w:hAnsi="Times New Roman" w:eastAsia="仿宋_GB2312" w:cs="Times New Roman"/>
                      <w:color w:val="000000" w:themeColor="text1"/>
                      <w:kern w:val="0"/>
                      <w:sz w:val="24"/>
                      <w:szCs w:val="24"/>
                      <w:vertAlign w:val="superscript"/>
                      <w14:textFill>
                        <w14:solidFill>
                          <w14:schemeClr w14:val="tx1"/>
                        </w14:solidFill>
                      </w14:textFill>
                    </w:rPr>
                    <w:t>）</w:t>
                  </w:r>
                </w:p>
              </w:tc>
              <w:tc>
                <w:tcPr>
                  <w:tcW w:w="1046"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6820"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脓毒症</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2）</w:t>
                  </w:r>
                </w:p>
              </w:tc>
              <w:tc>
                <w:tcPr>
                  <w:tcW w:w="1046"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6820"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预防性抗凝药物</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3）</w:t>
                  </w:r>
                </w:p>
              </w:tc>
              <w:tc>
                <w:tcPr>
                  <w:tcW w:w="1046"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6820"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凝血障碍（基于实验室检查指标或用药）</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4）</w:t>
                  </w:r>
                </w:p>
              </w:tc>
              <w:tc>
                <w:tcPr>
                  <w:tcW w:w="1046"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20"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合并内科疾病</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5）</w:t>
                  </w:r>
                </w:p>
              </w:tc>
              <w:tc>
                <w:tcPr>
                  <w:tcW w:w="1046" w:type="dxa"/>
                  <w:vAlign w:val="center"/>
                </w:tcPr>
                <w:p>
                  <w:pPr>
                    <w:spacing w:line="288" w:lineRule="auto"/>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3</w:t>
                  </w:r>
                </w:p>
              </w:tc>
            </w:tr>
          </w:tbl>
          <w:p>
            <w:pPr>
              <w:keepNext w:val="0"/>
              <w:keepLines w:val="0"/>
              <w:pageBreakBefore w:val="0"/>
              <w:widowControl w:val="0"/>
              <w:kinsoku/>
              <w:wordWrap/>
              <w:overflowPunct/>
              <w:topLinePunct w:val="0"/>
              <w:autoSpaceDE/>
              <w:autoSpaceDN/>
              <w:bidi w:val="0"/>
              <w:spacing w:line="500" w:lineRule="exact"/>
              <w:textAlignment w:val="auto"/>
              <w:rPr>
                <w:rFonts w:eastAsia="仿宋_GB2312"/>
                <w:b/>
                <w:color w:val="000000" w:themeColor="text1"/>
                <w:sz w:val="24"/>
                <w:szCs w:val="28"/>
                <w14:textFill>
                  <w14:solidFill>
                    <w14:schemeClr w14:val="tx1"/>
                  </w14:solidFill>
                </w14:textFill>
              </w:rPr>
            </w:pPr>
            <w:r>
              <w:rPr>
                <w:rFonts w:eastAsia="仿宋_GB2312"/>
                <w:b/>
                <w:color w:val="000000" w:themeColor="text1"/>
                <w:sz w:val="24"/>
                <w:szCs w:val="28"/>
                <w14:textFill>
                  <w14:solidFill>
                    <w14:schemeClr w14:val="tx1"/>
                  </w14:solidFill>
                </w14:textFill>
              </w:rPr>
              <w:t>注：低危&lt;7分，低中危 8~9分，中高危 10~11分，高危&gt;12分。</w:t>
            </w:r>
          </w:p>
          <w:p>
            <w:pPr>
              <w:keepNext w:val="0"/>
              <w:keepLines w:val="0"/>
              <w:pageBreakBefore w:val="0"/>
              <w:widowControl w:val="0"/>
              <w:kinsoku/>
              <w:wordWrap/>
              <w:overflowPunct/>
              <w:topLinePunct w:val="0"/>
              <w:autoSpaceDE/>
              <w:autoSpaceDN/>
              <w:bidi w:val="0"/>
              <w:spacing w:line="500" w:lineRule="exact"/>
              <w:textAlignment w:val="auto"/>
              <w:rPr>
                <w:rFonts w:eastAsia="仿宋_GB2312"/>
                <w:color w:val="000000" w:themeColor="text1"/>
                <w:sz w:val="24"/>
                <w:szCs w:val="28"/>
                <w14:textFill>
                  <w14:solidFill>
                    <w14:schemeClr w14:val="tx1"/>
                  </w14:solidFill>
                </w14:textFill>
              </w:rPr>
            </w:pPr>
            <w:r>
              <w:rPr>
                <w:rFonts w:eastAsia="仿宋_GB2312"/>
                <w:color w:val="000000" w:themeColor="text1"/>
                <w:sz w:val="24"/>
                <w:szCs w:val="28"/>
                <w14:textFill>
                  <w14:solidFill>
                    <w14:schemeClr w14:val="tx1"/>
                  </w14:solidFill>
                </w14:textFill>
              </w:rPr>
              <w:t>1）任何肝脏相关疾病，包括急性和慢性肝炎（感染或非感染）；急性、亚急性和慢性肝功能不全；慢性肝病，包括肝昏迷、门静脉高压、肝肾综合征和（或）其他后遗症；肝坏死或梗死；肝移植病史。2）包括识别或未识别病原菌的脓毒血症或菌血症。3）皮下注射普通肝素和剂量≤60 mg/d的依诺肝素。4）血小板计数&lt;50×10</w:t>
            </w:r>
            <w:r>
              <w:rPr>
                <w:rFonts w:eastAsia="仿宋_GB2312"/>
                <w:color w:val="000000" w:themeColor="text1"/>
                <w:sz w:val="24"/>
                <w:szCs w:val="28"/>
                <w:vertAlign w:val="superscript"/>
                <w14:textFill>
                  <w14:solidFill>
                    <w14:schemeClr w14:val="tx1"/>
                  </w14:solidFill>
                </w14:textFill>
              </w:rPr>
              <w:t>9</w:t>
            </w:r>
            <w:r>
              <w:rPr>
                <w:rFonts w:eastAsia="仿宋_GB2312"/>
                <w:color w:val="000000" w:themeColor="text1"/>
                <w:sz w:val="24"/>
                <w:szCs w:val="28"/>
                <w14:textFill>
                  <w14:solidFill>
                    <w14:schemeClr w14:val="tx1"/>
                  </w14:solidFill>
                </w14:textFill>
              </w:rPr>
              <w:t>/L，或 INR&gt;1.5 倍或 PTT&gt;2 倍正常值上限，或使用依诺肝素剂量&gt;60mg/d。5）需要相关内科药物治疗。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药物预防的目标是控制胃内 pH≥4</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质子泵抑制剂（PPI）能够迅速改变胃内酸性环境（pH&gt;6）</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具体措施包括：（1）对于高危人群，应在危险因素出现后静脉注射或滴注，使胃内pH迅速上升至4以上；（2）对择期复杂手术病人，如果合并SRMD危险因素，可在围手术期应用抑酸药，预防SRMD的发生</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00" w:lineRule="exact"/>
              <w:ind w:firstLine="562" w:firstLineChars="200"/>
              <w:jc w:val="left"/>
              <w:textAlignment w:val="auto"/>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二、</w:t>
            </w:r>
            <w:r>
              <w:rPr>
                <w:rFonts w:eastAsia="仿宋_GB2312"/>
                <w:b/>
                <w:color w:val="000000" w:themeColor="text1"/>
                <w:sz w:val="28"/>
                <w:szCs w:val="28"/>
                <w14:textFill>
                  <w14:solidFill>
                    <w14:schemeClr w14:val="tx1"/>
                  </w14:solidFill>
                </w14:textFill>
              </w:rPr>
              <w:t>急性食管胃静脉曲张出血合并胃黏膜病变或内镜治疗后的辅助治疗</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中华医学会肝病学分会，中华医学会消化病学分会</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《肝硬化门静脉高压食管胃静脉曲张出血的防治指南2016》收录</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PPI可提高止血成功率、减少内镜治疗后溃疡及近期再出血率，作为合并胃黏膜病变或内镜治疗后的辅助治疗（B</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《消化道出血临床路径（2017年县医院适用版）》收录</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质子泵抑制剂是最重要的治疗药物，有利于止血和预防出血</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562" w:firstLineChars="200"/>
              <w:jc w:val="left"/>
              <w:textAlignment w:val="auto"/>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三、</w:t>
            </w:r>
            <w:r>
              <w:rPr>
                <w:rFonts w:eastAsia="仿宋_GB2312"/>
                <w:b/>
                <w:color w:val="000000" w:themeColor="text1"/>
                <w:sz w:val="28"/>
                <w:szCs w:val="28"/>
                <w14:textFill>
                  <w14:solidFill>
                    <w14:schemeClr w14:val="tx1"/>
                  </w14:solidFill>
                </w14:textFill>
              </w:rPr>
              <w:t>胃</w:t>
            </w:r>
            <w:r>
              <w:rPr>
                <w:rFonts w:hint="eastAsia" w:eastAsia="仿宋_GB2312"/>
                <w:b/>
                <w:color w:val="000000" w:themeColor="text1"/>
                <w:sz w:val="28"/>
                <w:szCs w:val="28"/>
                <w14:textFill>
                  <w14:solidFill>
                    <w14:schemeClr w14:val="tx1"/>
                  </w14:solidFill>
                </w14:textFill>
              </w:rPr>
              <w:t>内镜黏膜下剥离术（</w:t>
            </w:r>
            <w:r>
              <w:rPr>
                <w:rFonts w:eastAsia="仿宋_GB2312"/>
                <w:b/>
                <w:color w:val="000000" w:themeColor="text1"/>
                <w:sz w:val="28"/>
                <w:szCs w:val="28"/>
                <w14:textFill>
                  <w14:solidFill>
                    <w14:schemeClr w14:val="tx1"/>
                  </w14:solidFill>
                </w14:textFill>
              </w:rPr>
              <w:t>ESD</w:t>
            </w: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术后预防出血和促进人工溃疡愈合</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中华医学会消化内镜学分会</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《胃内镜黏膜下剥离术围手术期指南2017》收录</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胃ESD术后应常规应用抑酸剂，以提高胃内pH，促进医源性溃疡愈合，减少迟发性出血发生。ESD术后PPI的用法类似消化性溃疡的治疗。切除标本直径&gt;40 mm、肿瘤直径&gt;20 mm、服用抗栓药物（尤其是≥2种抗栓药物）、平坦/凹陷型病变、组织类型为癌、病变位于胃小弯侧、伴有溃疡、合并心脏病</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肝硬化</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慢性肾病</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血液透析、操作时间长</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&gt;60 min</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等均是 ESD术后迟发性出血的危险因素。对于伴有上述ESD术后迟发性出血危险因素的患者建议可酌情增加PPI用量、延长疗程或加用胃黏膜保护剂</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且对于伴有多个迟发性出血危险因素的患者，建议延长住院时间</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562" w:firstLineChars="200"/>
              <w:jc w:val="left"/>
              <w:textAlignment w:val="auto"/>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四、</w:t>
            </w:r>
            <w:r>
              <w:rPr>
                <w:rFonts w:eastAsia="仿宋_GB2312"/>
                <w:b/>
                <w:color w:val="000000" w:themeColor="text1"/>
                <w:sz w:val="28"/>
                <w:szCs w:val="28"/>
                <w14:textFill>
                  <w14:solidFill>
                    <w14:schemeClr w14:val="tx1"/>
                  </w14:solidFill>
                </w14:textFill>
              </w:rPr>
              <w:t>预防抗血小板药物消化道损伤</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美国心脏病学会（ACC）与美国心脏协会（AHA）联合颁布的关于双联抗血小板治疗（DAPT，阿司匹林加P2Y12抑制剂）的指南更新《ACC/AHA Guideline Focused Update on Duration of Dual Antiplatelet Therapy in Patients With Coronary Artery Disease 2016》收录</w:t>
            </w:r>
            <w:r>
              <w:rPr>
                <w:rFonts w:hint="eastAsia" w:eastAsia="仿宋_GB2312"/>
                <w:color w:val="000000" w:themeColor="text1"/>
                <w:sz w:val="28"/>
                <w:szCs w:val="28"/>
                <w14:textFill>
                  <w14:solidFill>
                    <w14:schemeClr w14:val="tx1"/>
                  </w14:solidFill>
                </w14:textFill>
              </w:rPr>
              <w:t>：（1）</w:t>
            </w:r>
            <w:r>
              <w:rPr>
                <w:rFonts w:eastAsia="仿宋_GB2312"/>
                <w:color w:val="000000" w:themeColor="text1"/>
                <w:sz w:val="28"/>
                <w:szCs w:val="28"/>
                <w14:textFill>
                  <w14:solidFill>
                    <w14:schemeClr w14:val="tx1"/>
                  </w14:solidFill>
                </w14:textFill>
              </w:rPr>
              <w:t>既往有消化道出血的患者进行 DAPT 治疗时应服用 PPIs</w:t>
            </w:r>
            <w:r>
              <w:rPr>
                <w:rFonts w:hint="eastAsia" w:eastAsia="仿宋_GB2312"/>
                <w:color w:val="000000" w:themeColor="text1"/>
                <w:sz w:val="28"/>
                <w:szCs w:val="28"/>
                <w14:textFill>
                  <w14:solidFill>
                    <w14:schemeClr w14:val="tx1"/>
                  </w14:solidFill>
                </w14:textFill>
              </w:rPr>
              <w:t>；（2）</w:t>
            </w:r>
            <w:r>
              <w:rPr>
                <w:rFonts w:eastAsia="仿宋_GB2312"/>
                <w:color w:val="000000" w:themeColor="text1"/>
                <w:sz w:val="28"/>
                <w:szCs w:val="28"/>
                <w14:textFill>
                  <w14:solidFill>
                    <w14:schemeClr w14:val="tx1"/>
                  </w14:solidFill>
                </w14:textFill>
              </w:rPr>
              <w:t>具有高危消化道出血风险的患者（包括老年人、服用华法林、激素或者非甾体类抗炎药等）</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推荐服用 PPIs</w:t>
            </w:r>
            <w:r>
              <w:rPr>
                <w:rFonts w:hint="eastAsia" w:eastAsia="仿宋_GB2312"/>
                <w:color w:val="000000" w:themeColor="text1"/>
                <w:sz w:val="28"/>
                <w:szCs w:val="28"/>
                <w14:textFill>
                  <w14:solidFill>
                    <w14:schemeClr w14:val="tx1"/>
                  </w14:solidFill>
                </w14:textFill>
              </w:rPr>
              <w:t>；（3）</w:t>
            </w:r>
            <w:r>
              <w:rPr>
                <w:rFonts w:eastAsia="仿宋_GB2312"/>
                <w:color w:val="000000" w:themeColor="text1"/>
                <w:sz w:val="28"/>
                <w:szCs w:val="28"/>
                <w14:textFill>
                  <w14:solidFill>
                    <w14:schemeClr w14:val="tx1"/>
                  </w14:solidFill>
                </w14:textFill>
              </w:rPr>
              <w:t>不推荐低危消化道出血患者服用 PPIs</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562" w:firstLineChars="200"/>
              <w:jc w:val="left"/>
              <w:textAlignment w:val="auto"/>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五、</w:t>
            </w:r>
            <w:r>
              <w:rPr>
                <w:rFonts w:eastAsia="仿宋_GB2312"/>
                <w:b/>
                <w:color w:val="000000" w:themeColor="text1"/>
                <w:sz w:val="28"/>
                <w:szCs w:val="28"/>
                <w14:textFill>
                  <w14:solidFill>
                    <w14:schemeClr w14:val="tx1"/>
                  </w14:solidFill>
                </w14:textFill>
              </w:rPr>
              <w:t>预防化疗所致呕吐</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《NCCN Clinical Practice Guidelines in Oncology：Antiemesis（2019V1）》收录</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由于呕吐患者无法区分反酸和恶心</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地塞米松可能会引起酸相关性消化不良，因此PPI选择用于有胃部疾病的患者</w:t>
            </w:r>
            <w:r>
              <w:rPr>
                <w:rFonts w:hint="eastAsia" w:eastAsia="仿宋_GB2312"/>
                <w:color w:val="000000" w:themeColor="text1"/>
                <w:sz w:val="28"/>
                <w:szCs w:val="28"/>
                <w14:textFill>
                  <w14:solidFill>
                    <w14:schemeClr w14:val="tx1"/>
                  </w14:solidFill>
                </w14:textFill>
              </w:rPr>
              <w:t>；</w:t>
            </w:r>
          </w:p>
          <w:p>
            <w:pPr>
              <w:contextualSpacing/>
              <w:jc w:val="center"/>
              <w:rPr>
                <w:rFonts w:eastAsia="仿宋_GB2312"/>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预防化疗所致恶心呕吐概要</w:t>
            </w:r>
          </w:p>
          <w:tbl>
            <w:tblPr>
              <w:tblStyle w:val="3"/>
              <w:tblW w:w="8505"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9"/>
              <w:gridCol w:w="3116"/>
              <w:gridCol w:w="2204"/>
              <w:gridCol w:w="17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8505" w:type="dxa"/>
                  <w:gridSpan w:val="4"/>
                  <w:tcBorders>
                    <w:top w:val="single" w:color="auto" w:sz="4" w:space="0"/>
                    <w:bottom w:val="single" w:color="auto" w:sz="4" w:space="0"/>
                  </w:tcBorders>
                  <w:vAlign w:val="center"/>
                </w:tcPr>
                <w:p>
                  <w:pPr>
                    <w:contextualSpacing/>
                    <w:jc w:val="center"/>
                    <w:rPr>
                      <w:rFonts w:ascii="Times New Roman" w:hAnsi="Times New Roman" w:eastAsia="仿宋_GB2312" w:cs="Times New Roman"/>
                      <w:b/>
                      <w:color w:val="000000" w:themeColor="text1"/>
                      <w:kern w:val="0"/>
                      <w:sz w:val="24"/>
                      <w:szCs w:val="24"/>
                      <w14:textFill>
                        <w14:solidFill>
                          <w14:schemeClr w14:val="tx1"/>
                        </w14:solidFill>
                      </w14:textFill>
                    </w:rPr>
                  </w:pPr>
                  <w:r>
                    <w:rPr>
                      <w:rFonts w:ascii="Times New Roman" w:hAnsi="Times New Roman" w:eastAsia="仿宋_GB2312" w:cs="Times New Roman"/>
                      <w:b/>
                      <w:color w:val="000000" w:themeColor="text1"/>
                      <w:kern w:val="0"/>
                      <w:sz w:val="24"/>
                      <w:szCs w:val="24"/>
                      <w14:textFill>
                        <w14:solidFill>
                          <w14:schemeClr w14:val="tx1"/>
                        </w14:solidFill>
                      </w14:textFill>
                    </w:rPr>
                    <w:t>静脉化疗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419" w:type="dxa"/>
                  <w:tcBorders>
                    <w:top w:val="single" w:color="auto" w:sz="4" w:space="0"/>
                    <w:bottom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催吐风险</w:t>
                  </w:r>
                </w:p>
              </w:tc>
              <w:tc>
                <w:tcPr>
                  <w:tcW w:w="3116" w:type="dxa"/>
                  <w:tcBorders>
                    <w:top w:val="single" w:color="auto" w:sz="4" w:space="0"/>
                    <w:bottom w:val="single" w:color="auto" w:sz="4" w:space="0"/>
                  </w:tcBorders>
                  <w:vAlign w:val="center"/>
                </w:tcPr>
                <w:p>
                  <w:pPr>
                    <w:ind w:firstLine="480" w:firstLineChars="200"/>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急性</w:t>
                  </w:r>
                </w:p>
              </w:tc>
              <w:tc>
                <w:tcPr>
                  <w:tcW w:w="2204" w:type="dxa"/>
                  <w:tcBorders>
                    <w:top w:val="single" w:color="auto" w:sz="4" w:space="0"/>
                    <w:bottom w:val="single" w:color="auto" w:sz="4" w:space="0"/>
                  </w:tcBorders>
                  <w:vAlign w:val="center"/>
                </w:tcPr>
                <w:p>
                  <w:pPr>
                    <w:ind w:firstLine="480" w:firstLineChars="200"/>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延迟性</w:t>
                  </w:r>
                </w:p>
              </w:tc>
              <w:tc>
                <w:tcPr>
                  <w:tcW w:w="1766" w:type="dxa"/>
                  <w:tcBorders>
                    <w:top w:val="single" w:color="auto" w:sz="4" w:space="0"/>
                    <w:bottom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证据/推荐级别</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1419" w:type="dxa"/>
                  <w:tcBorders>
                    <w:top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高度</w:t>
                  </w:r>
                </w:p>
              </w:tc>
              <w:tc>
                <w:tcPr>
                  <w:tcW w:w="3116" w:type="dxa"/>
                  <w:tcBorders>
                    <w:top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5-HT</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3</w:t>
                  </w:r>
                  <w:r>
                    <w:rPr>
                      <w:rFonts w:ascii="Times New Roman" w:hAnsi="Times New Roman" w:eastAsia="仿宋_GB2312" w:cs="Times New Roman"/>
                      <w:color w:val="000000" w:themeColor="text1"/>
                      <w:kern w:val="0"/>
                      <w:sz w:val="24"/>
                      <w:szCs w:val="24"/>
                      <w14:textFill>
                        <w14:solidFill>
                          <w14:schemeClr w14:val="tx1"/>
                        </w14:solidFill>
                      </w14:textFill>
                    </w:rPr>
                    <w:t>RA+DXM+NK-1RA±</w:t>
                  </w:r>
                </w:p>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劳拉西泮±H</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2</w:t>
                  </w:r>
                  <w:r>
                    <w:rPr>
                      <w:rFonts w:ascii="Times New Roman" w:hAnsi="Times New Roman" w:eastAsia="仿宋_GB2312" w:cs="Times New Roman"/>
                      <w:color w:val="000000" w:themeColor="text1"/>
                      <w:kern w:val="0"/>
                      <w:sz w:val="24"/>
                      <w:szCs w:val="24"/>
                      <w14:textFill>
                        <w14:solidFill>
                          <w14:schemeClr w14:val="tx1"/>
                        </w14:solidFill>
                      </w14:textFill>
                    </w:rPr>
                    <w:t>RA或PPI</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a</w:t>
                  </w:r>
                </w:p>
              </w:tc>
              <w:tc>
                <w:tcPr>
                  <w:tcW w:w="2204" w:type="dxa"/>
                  <w:tcBorders>
                    <w:top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DXM+NK-1RA±劳拉西泮± H</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2</w:t>
                  </w:r>
                  <w:r>
                    <w:rPr>
                      <w:rFonts w:ascii="Times New Roman" w:hAnsi="Times New Roman" w:eastAsia="仿宋_GB2312" w:cs="Times New Roman"/>
                      <w:color w:val="000000" w:themeColor="text1"/>
                      <w:kern w:val="0"/>
                      <w:sz w:val="24"/>
                      <w:szCs w:val="24"/>
                      <w14:textFill>
                        <w14:solidFill>
                          <w14:schemeClr w14:val="tx1"/>
                        </w14:solidFill>
                      </w14:textFill>
                    </w:rPr>
                    <w:t>RA或 PPI</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a</w:t>
                  </w:r>
                </w:p>
              </w:tc>
              <w:tc>
                <w:tcPr>
                  <w:tcW w:w="1766" w:type="dxa"/>
                  <w:tcBorders>
                    <w:top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9" w:hRule="atLeast"/>
                <w:jc w:val="center"/>
              </w:trPr>
              <w:tc>
                <w:tcPr>
                  <w:tcW w:w="1419"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中度</w:t>
                  </w:r>
                </w:p>
              </w:tc>
              <w:tc>
                <w:tcPr>
                  <w:tcW w:w="3116" w:type="dxa"/>
                  <w:vAlign w:val="center"/>
                </w:tcPr>
                <w:p>
                  <w:pPr>
                    <w:contextualSpacing/>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5-HT</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3</w:t>
                  </w:r>
                  <w:r>
                    <w:rPr>
                      <w:rFonts w:ascii="Times New Roman" w:hAnsi="Times New Roman" w:eastAsia="仿宋_GB2312" w:cs="Times New Roman"/>
                      <w:color w:val="000000" w:themeColor="text1"/>
                      <w:kern w:val="0"/>
                      <w:sz w:val="24"/>
                      <w:szCs w:val="24"/>
                      <w14:textFill>
                        <w14:solidFill>
                          <w14:schemeClr w14:val="tx1"/>
                        </w14:solidFill>
                      </w14:textFill>
                    </w:rPr>
                    <w:t>RA+DXM+NK-1RA±</w:t>
                  </w:r>
                </w:p>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劳拉西泮±H</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2</w:t>
                  </w:r>
                  <w:r>
                    <w:rPr>
                      <w:rFonts w:ascii="Times New Roman" w:hAnsi="Times New Roman" w:eastAsia="仿宋_GB2312" w:cs="Times New Roman"/>
                      <w:color w:val="000000" w:themeColor="text1"/>
                      <w:kern w:val="0"/>
                      <w:sz w:val="24"/>
                      <w:szCs w:val="24"/>
                      <w14:textFill>
                        <w14:solidFill>
                          <w14:schemeClr w14:val="tx1"/>
                        </w14:solidFill>
                      </w14:textFill>
                    </w:rPr>
                    <w:t>RA或PPI</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a</w:t>
                  </w:r>
                </w:p>
              </w:tc>
              <w:tc>
                <w:tcPr>
                  <w:tcW w:w="2204"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5HT</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3</w:t>
                  </w:r>
                  <w:r>
                    <w:rPr>
                      <w:rFonts w:ascii="Times New Roman" w:hAnsi="Times New Roman" w:eastAsia="仿宋_GB2312" w:cs="Times New Roman"/>
                      <w:color w:val="000000" w:themeColor="text1"/>
                      <w:kern w:val="0"/>
                      <w:sz w:val="24"/>
                      <w:szCs w:val="24"/>
                      <w14:textFill>
                        <w14:solidFill>
                          <w14:schemeClr w14:val="tx1"/>
                        </w14:solidFill>
                      </w14:textFill>
                    </w:rPr>
                    <w:t>RA+DXM±NK-1RAb±</w:t>
                  </w:r>
                </w:p>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劳拉西泮±H</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2</w:t>
                  </w:r>
                  <w:r>
                    <w:rPr>
                      <w:rFonts w:ascii="Times New Roman" w:hAnsi="Times New Roman" w:eastAsia="仿宋_GB2312" w:cs="Times New Roman"/>
                      <w:color w:val="000000" w:themeColor="text1"/>
                      <w:kern w:val="0"/>
                      <w:sz w:val="24"/>
                      <w:szCs w:val="24"/>
                      <w14:textFill>
                        <w14:solidFill>
                          <w14:schemeClr w14:val="tx1"/>
                        </w14:solidFill>
                      </w14:textFill>
                    </w:rPr>
                    <w:t>RA或PPI</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a</w:t>
                  </w:r>
                </w:p>
              </w:tc>
              <w:tc>
                <w:tcPr>
                  <w:tcW w:w="1766"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jc w:val="center"/>
              </w:trPr>
              <w:tc>
                <w:tcPr>
                  <w:tcW w:w="1419"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低度</w:t>
                  </w:r>
                </w:p>
              </w:tc>
              <w:tc>
                <w:tcPr>
                  <w:tcW w:w="3116"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DXM；甲氧氯普胺；丙氯拉嗪±劳拉西泮±H</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2</w:t>
                  </w:r>
                  <w:r>
                    <w:rPr>
                      <w:rFonts w:ascii="Times New Roman" w:hAnsi="Times New Roman" w:eastAsia="仿宋_GB2312" w:cs="Times New Roman"/>
                      <w:color w:val="000000" w:themeColor="text1"/>
                      <w:kern w:val="0"/>
                      <w:sz w:val="24"/>
                      <w:szCs w:val="24"/>
                      <w14:textFill>
                        <w14:solidFill>
                          <w14:schemeClr w14:val="tx1"/>
                        </w14:solidFill>
                      </w14:textFill>
                    </w:rPr>
                    <w:t>RA或PPI</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a</w:t>
                  </w:r>
                </w:p>
              </w:tc>
              <w:tc>
                <w:tcPr>
                  <w:tcW w:w="2204"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无常规预防</w:t>
                  </w:r>
                </w:p>
              </w:tc>
              <w:tc>
                <w:tcPr>
                  <w:tcW w:w="1766"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1419" w:type="dxa"/>
                  <w:tcBorders>
                    <w:bottom w:val="nil"/>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轻微</w:t>
                  </w:r>
                </w:p>
              </w:tc>
              <w:tc>
                <w:tcPr>
                  <w:tcW w:w="3116" w:type="dxa"/>
                  <w:tcBorders>
                    <w:bottom w:val="nil"/>
                  </w:tcBorders>
                  <w:vAlign w:val="center"/>
                </w:tcPr>
                <w:p>
                  <w:pPr>
                    <w:ind w:firstLine="480" w:firstLineChars="200"/>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无常规预防</w:t>
                  </w:r>
                </w:p>
              </w:tc>
              <w:tc>
                <w:tcPr>
                  <w:tcW w:w="2204" w:type="dxa"/>
                  <w:tcBorders>
                    <w:bottom w:val="nil"/>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无常规预防</w:t>
                  </w:r>
                </w:p>
              </w:tc>
              <w:tc>
                <w:tcPr>
                  <w:tcW w:w="1766" w:type="dxa"/>
                  <w:tcBorders>
                    <w:bottom w:val="nil"/>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8505" w:type="dxa"/>
                  <w:gridSpan w:val="4"/>
                  <w:tcBorders>
                    <w:top w:val="nil"/>
                    <w:bottom w:val="single" w:color="auto" w:sz="4" w:space="0"/>
                  </w:tcBorders>
                  <w:vAlign w:val="center"/>
                </w:tcPr>
                <w:p>
                  <w:pPr>
                    <w:contextualSpacing/>
                    <w:jc w:val="center"/>
                    <w:rPr>
                      <w:rFonts w:ascii="Times New Roman" w:hAnsi="Times New Roman" w:eastAsia="仿宋_GB2312" w:cs="Times New Roman"/>
                      <w:b/>
                      <w:color w:val="000000" w:themeColor="text1"/>
                      <w:kern w:val="0"/>
                      <w:sz w:val="24"/>
                      <w:szCs w:val="24"/>
                      <w14:textFill>
                        <w14:solidFill>
                          <w14:schemeClr w14:val="tx1"/>
                        </w14:solidFill>
                      </w14:textFill>
                    </w:rPr>
                  </w:pPr>
                  <w:r>
                    <w:rPr>
                      <w:rFonts w:ascii="Times New Roman" w:hAnsi="Times New Roman" w:eastAsia="仿宋_GB2312" w:cs="Times New Roman"/>
                      <w:b/>
                      <w:color w:val="000000" w:themeColor="text1"/>
                      <w:kern w:val="0"/>
                      <w:sz w:val="24"/>
                      <w:szCs w:val="24"/>
                      <w14:textFill>
                        <w14:solidFill>
                          <w14:schemeClr w14:val="tx1"/>
                        </w14:solidFill>
                      </w14:textFill>
                    </w:rPr>
                    <w:t>口服化疗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9" w:type="dxa"/>
                  <w:tcBorders>
                    <w:top w:val="single" w:color="auto" w:sz="4" w:space="0"/>
                    <w:bottom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催吐风险</w:t>
                  </w:r>
                </w:p>
              </w:tc>
              <w:tc>
                <w:tcPr>
                  <w:tcW w:w="3116" w:type="dxa"/>
                  <w:tcBorders>
                    <w:top w:val="single" w:color="auto" w:sz="4" w:space="0"/>
                    <w:bottom w:val="single" w:color="auto" w:sz="4" w:space="0"/>
                  </w:tcBorders>
                  <w:vAlign w:val="center"/>
                </w:tcPr>
                <w:p>
                  <w:pPr>
                    <w:ind w:firstLine="480" w:firstLineChars="200"/>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急性</w:t>
                  </w:r>
                </w:p>
              </w:tc>
              <w:tc>
                <w:tcPr>
                  <w:tcW w:w="2204" w:type="dxa"/>
                  <w:tcBorders>
                    <w:top w:val="single" w:color="auto" w:sz="4" w:space="0"/>
                    <w:bottom w:val="single" w:color="auto" w:sz="4" w:space="0"/>
                  </w:tcBorders>
                  <w:vAlign w:val="center"/>
                </w:tcPr>
                <w:p>
                  <w:pPr>
                    <w:ind w:firstLine="480" w:firstLineChars="200"/>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延迟性</w:t>
                  </w:r>
                </w:p>
              </w:tc>
              <w:tc>
                <w:tcPr>
                  <w:tcW w:w="1766" w:type="dxa"/>
                  <w:tcBorders>
                    <w:top w:val="single" w:color="auto" w:sz="4" w:space="0"/>
                    <w:bottom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证据/推荐级别</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9" w:type="dxa"/>
                  <w:tcBorders>
                    <w:top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高度-中度</w:t>
                  </w:r>
                </w:p>
              </w:tc>
              <w:tc>
                <w:tcPr>
                  <w:tcW w:w="3116" w:type="dxa"/>
                  <w:tcBorders>
                    <w:top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5-HT</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3</w:t>
                  </w:r>
                  <w:r>
                    <w:rPr>
                      <w:rFonts w:ascii="Times New Roman" w:hAnsi="Times New Roman" w:eastAsia="仿宋_GB2312" w:cs="Times New Roman"/>
                      <w:color w:val="000000" w:themeColor="text1"/>
                      <w:kern w:val="0"/>
                      <w:sz w:val="24"/>
                      <w:szCs w:val="24"/>
                      <w14:textFill>
                        <w14:solidFill>
                          <w14:schemeClr w14:val="tx1"/>
                        </w14:solidFill>
                      </w14:textFill>
                    </w:rPr>
                    <w:t>RA±劳拉西泮±H</w:t>
                  </w:r>
                  <w:r>
                    <w:rPr>
                      <w:rFonts w:ascii="Times New Roman" w:hAnsi="Times New Roman" w:eastAsia="仿宋_GB2312" w:cs="Times New Roman"/>
                      <w:color w:val="000000" w:themeColor="text1"/>
                      <w:kern w:val="0"/>
                      <w:sz w:val="24"/>
                      <w:szCs w:val="24"/>
                      <w:vertAlign w:val="subscript"/>
                      <w14:textFill>
                        <w14:solidFill>
                          <w14:schemeClr w14:val="tx1"/>
                        </w14:solidFill>
                      </w14:textFill>
                    </w:rPr>
                    <w:t>2</w:t>
                  </w:r>
                  <w:r>
                    <w:rPr>
                      <w:rFonts w:ascii="Times New Roman" w:hAnsi="Times New Roman" w:eastAsia="仿宋_GB2312" w:cs="Times New Roman"/>
                      <w:color w:val="000000" w:themeColor="text1"/>
                      <w:kern w:val="0"/>
                      <w:sz w:val="24"/>
                      <w:szCs w:val="24"/>
                      <w14:textFill>
                        <w14:solidFill>
                          <w14:schemeClr w14:val="tx1"/>
                        </w14:solidFill>
                      </w14:textFill>
                    </w:rPr>
                    <w:t>RA或PPI</w:t>
                  </w:r>
                  <w:r>
                    <w:rPr>
                      <w:rFonts w:ascii="Times New Roman" w:hAnsi="Times New Roman" w:eastAsia="仿宋_GB2312" w:cs="Times New Roman"/>
                      <w:color w:val="000000" w:themeColor="text1"/>
                      <w:kern w:val="0"/>
                      <w:sz w:val="24"/>
                      <w:szCs w:val="24"/>
                      <w:vertAlign w:val="superscript"/>
                      <w14:textFill>
                        <w14:solidFill>
                          <w14:schemeClr w14:val="tx1"/>
                        </w14:solidFill>
                      </w14:textFill>
                    </w:rPr>
                    <w:t>a</w:t>
                  </w:r>
                </w:p>
              </w:tc>
              <w:tc>
                <w:tcPr>
                  <w:tcW w:w="2204" w:type="dxa"/>
                  <w:tcBorders>
                    <w:top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无常规预防</w:t>
                  </w:r>
                </w:p>
              </w:tc>
              <w:tc>
                <w:tcPr>
                  <w:tcW w:w="1766" w:type="dxa"/>
                  <w:tcBorders>
                    <w:top w:val="single" w:color="auto" w:sz="4" w:space="0"/>
                  </w:tcBorders>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419"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低度-轻微</w:t>
                  </w:r>
                </w:p>
              </w:tc>
              <w:tc>
                <w:tcPr>
                  <w:tcW w:w="3116"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无常规预防</w:t>
                  </w:r>
                </w:p>
              </w:tc>
              <w:tc>
                <w:tcPr>
                  <w:tcW w:w="2204"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无常规预防</w:t>
                  </w:r>
                </w:p>
              </w:tc>
              <w:tc>
                <w:tcPr>
                  <w:tcW w:w="1766" w:type="dxa"/>
                  <w:vAlign w:val="center"/>
                </w:tcPr>
                <w:p>
                  <w:pPr>
                    <w:contextualSpacing/>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2A</w:t>
                  </w:r>
                </w:p>
              </w:tc>
            </w:tr>
          </w:tbl>
          <w:p>
            <w:pPr>
              <w:keepNext w:val="0"/>
              <w:keepLines w:val="0"/>
              <w:pageBreakBefore w:val="0"/>
              <w:widowControl w:val="0"/>
              <w:kinsoku/>
              <w:wordWrap/>
              <w:overflowPunct/>
              <w:topLinePunct w:val="0"/>
              <w:autoSpaceDE/>
              <w:autoSpaceDN/>
              <w:bidi w:val="0"/>
              <w:adjustRightInd/>
              <w:snapToGrid/>
              <w:spacing w:line="500" w:lineRule="exact"/>
              <w:contextualSpacing/>
              <w:textAlignment w:val="auto"/>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注：5-HT</w:t>
            </w:r>
            <w:r>
              <w:rPr>
                <w:rFonts w:eastAsia="仿宋_GB2312"/>
                <w:color w:val="000000" w:themeColor="text1"/>
                <w:sz w:val="24"/>
                <w:szCs w:val="24"/>
                <w:vertAlign w:val="subscript"/>
                <w14:textFill>
                  <w14:solidFill>
                    <w14:schemeClr w14:val="tx1"/>
                  </w14:solidFill>
                </w14:textFill>
              </w:rPr>
              <w:t>3</w:t>
            </w:r>
            <w:r>
              <w:rPr>
                <w:rFonts w:eastAsia="仿宋_GB2312"/>
                <w:color w:val="000000" w:themeColor="text1"/>
                <w:sz w:val="24"/>
                <w:szCs w:val="24"/>
                <w14:textFill>
                  <w14:solidFill>
                    <w14:schemeClr w14:val="tx1"/>
                  </w14:solidFill>
                </w14:textFill>
              </w:rPr>
              <w:t>RA：5-HT</w:t>
            </w:r>
            <w:r>
              <w:rPr>
                <w:rFonts w:eastAsia="仿宋_GB2312"/>
                <w:color w:val="000000" w:themeColor="text1"/>
                <w:sz w:val="24"/>
                <w:szCs w:val="24"/>
                <w:vertAlign w:val="subscript"/>
                <w14:textFill>
                  <w14:solidFill>
                    <w14:schemeClr w14:val="tx1"/>
                  </w14:solidFill>
                </w14:textFill>
              </w:rPr>
              <w:t>3</w:t>
            </w:r>
            <w:r>
              <w:rPr>
                <w:rFonts w:eastAsia="仿宋_GB2312"/>
                <w:color w:val="000000" w:themeColor="text1"/>
                <w:sz w:val="24"/>
                <w:szCs w:val="24"/>
                <w14:textFill>
                  <w14:solidFill>
                    <w14:schemeClr w14:val="tx1"/>
                  </w14:solidFill>
                </w14:textFill>
              </w:rPr>
              <w:t>受体拮抗剂；DXM：地塞米松；NK-1RA：NK-1受体拮抗剂；H</w:t>
            </w:r>
            <w:r>
              <w:rPr>
                <w:rFonts w:eastAsia="仿宋_GB2312"/>
                <w:color w:val="000000" w:themeColor="text1"/>
                <w:sz w:val="24"/>
                <w:szCs w:val="24"/>
                <w:vertAlign w:val="subscript"/>
                <w14:textFill>
                  <w14:solidFill>
                    <w14:schemeClr w14:val="tx1"/>
                  </w14:solidFill>
                </w14:textFill>
              </w:rPr>
              <w:t>2</w:t>
            </w:r>
            <w:r>
              <w:rPr>
                <w:rFonts w:eastAsia="仿宋_GB2312"/>
                <w:color w:val="000000" w:themeColor="text1"/>
                <w:sz w:val="24"/>
                <w:szCs w:val="24"/>
                <w14:textFill>
                  <w14:solidFill>
                    <w14:schemeClr w14:val="tx1"/>
                  </w14:solidFill>
                </w14:textFill>
              </w:rPr>
              <w:t>RA：H</w:t>
            </w:r>
            <w:r>
              <w:rPr>
                <w:rFonts w:eastAsia="仿宋_GB2312"/>
                <w:color w:val="000000" w:themeColor="text1"/>
                <w:sz w:val="24"/>
                <w:szCs w:val="24"/>
                <w:vertAlign w:val="subscript"/>
                <w14:textFill>
                  <w14:solidFill>
                    <w14:schemeClr w14:val="tx1"/>
                  </w14:solidFill>
                </w14:textFill>
              </w:rPr>
              <w:t>2</w:t>
            </w:r>
            <w:r>
              <w:rPr>
                <w:rFonts w:eastAsia="仿宋_GB2312"/>
                <w:color w:val="000000" w:themeColor="text1"/>
                <w:sz w:val="24"/>
                <w:szCs w:val="24"/>
                <w14:textFill>
                  <w14:solidFill>
                    <w14:schemeClr w14:val="tx1"/>
                  </w14:solidFill>
                </w14:textFill>
              </w:rPr>
              <w:t>受体拮抗剂；PPI：质子泵抑制剂；a：H</w:t>
            </w:r>
            <w:r>
              <w:rPr>
                <w:rFonts w:eastAsia="仿宋_GB2312"/>
                <w:color w:val="000000" w:themeColor="text1"/>
                <w:sz w:val="24"/>
                <w:szCs w:val="24"/>
                <w:vertAlign w:val="subscript"/>
                <w14:textFill>
                  <w14:solidFill>
                    <w14:schemeClr w14:val="tx1"/>
                  </w14:solidFill>
                </w14:textFill>
              </w:rPr>
              <w:t>2</w:t>
            </w:r>
            <w:r>
              <w:rPr>
                <w:rFonts w:eastAsia="仿宋_GB2312"/>
                <w:color w:val="000000" w:themeColor="text1"/>
                <w:sz w:val="24"/>
                <w:szCs w:val="24"/>
                <w14:textFill>
                  <w14:solidFill>
                    <w14:schemeClr w14:val="tx1"/>
                  </w14:solidFill>
                </w14:textFill>
              </w:rPr>
              <w:t>RA或PPI选择性用于有胃部疾病的患者；b：NK-1RA仅选择性用于的中度催吐风险的部分患者，例如卡铂≥300 mg/m</w:t>
            </w:r>
            <w:r>
              <w:rPr>
                <w:rFonts w:eastAsia="仿宋_GB2312"/>
                <w:color w:val="000000" w:themeColor="text1"/>
                <w:sz w:val="24"/>
                <w:szCs w:val="24"/>
                <w:vertAlign w:val="superscript"/>
                <w14:textFill>
                  <w14:solidFill>
                    <w14:schemeClr w14:val="tx1"/>
                  </w14:solidFill>
                </w14:textFill>
              </w:rPr>
              <w:t>2</w:t>
            </w:r>
            <w:r>
              <w:rPr>
                <w:rFonts w:eastAsia="仿宋_GB2312"/>
                <w:color w:val="000000" w:themeColor="text1"/>
                <w:sz w:val="24"/>
                <w:szCs w:val="24"/>
                <w14:textFill>
                  <w14:solidFill>
                    <w14:schemeClr w14:val="tx1"/>
                  </w14:solidFill>
                </w14:textFill>
              </w:rPr>
              <w:t>、环磷酰胺≥600-1000 mg/m</w:t>
            </w:r>
            <w:r>
              <w:rPr>
                <w:rFonts w:eastAsia="仿宋_GB2312"/>
                <w:color w:val="000000" w:themeColor="text1"/>
                <w:sz w:val="24"/>
                <w:szCs w:val="24"/>
                <w:vertAlign w:val="superscript"/>
                <w14:textFill>
                  <w14:solidFill>
                    <w14:schemeClr w14:val="tx1"/>
                  </w14:solidFill>
                </w14:textFill>
              </w:rPr>
              <w:t>2</w:t>
            </w:r>
            <w:r>
              <w:rPr>
                <w:rFonts w:eastAsia="仿宋_GB2312"/>
                <w:color w:val="000000" w:themeColor="text1"/>
                <w:sz w:val="24"/>
                <w:szCs w:val="24"/>
                <w14:textFill>
                  <w14:solidFill>
                    <w14:schemeClr w14:val="tx1"/>
                  </w14:solidFill>
                </w14:textFill>
              </w:rPr>
              <w:t>、阿霉素≥50 mg/m</w:t>
            </w:r>
            <w:r>
              <w:rPr>
                <w:rFonts w:eastAsia="仿宋_GB2312"/>
                <w:color w:val="000000" w:themeColor="text1"/>
                <w:sz w:val="24"/>
                <w:szCs w:val="24"/>
                <w:vertAlign w:val="superscript"/>
                <w14:textFill>
                  <w14:solidFill>
                    <w14:schemeClr w14:val="tx1"/>
                  </w14:solidFill>
                </w14:textFill>
              </w:rPr>
              <w:t>2</w:t>
            </w:r>
            <w:r>
              <w:rPr>
                <w:rFonts w:hint="eastAsia" w:eastAsia="仿宋_GB2312"/>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六、</w:t>
            </w:r>
            <w:r>
              <w:rPr>
                <w:rFonts w:eastAsia="仿宋_GB2312"/>
                <w:b/>
                <w:color w:val="000000" w:themeColor="text1"/>
                <w:sz w:val="28"/>
                <w:szCs w:val="28"/>
                <w14:textFill>
                  <w14:solidFill>
                    <w14:schemeClr w14:val="tx1"/>
                  </w14:solidFill>
                </w14:textFill>
              </w:rPr>
              <w:t>预防大剂量糖皮质激素使用引起的胃粘膜损伤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原</w:t>
            </w:r>
            <w:r>
              <w:rPr>
                <w:rFonts w:eastAsia="仿宋_GB2312"/>
                <w:color w:val="000000" w:themeColor="text1"/>
                <w:sz w:val="28"/>
                <w:szCs w:val="28"/>
                <w14:textFill>
                  <w14:solidFill>
                    <w14:schemeClr w14:val="tx1"/>
                  </w14:solidFill>
                </w14:textFill>
              </w:rPr>
              <w:t>国家卫生部《糖皮质激素类药物临床应用指导原则2011》</w:t>
            </w:r>
            <w:r>
              <w:rPr>
                <w:rFonts w:hint="eastAsia" w:eastAsia="仿宋_GB2312"/>
                <w:color w:val="000000" w:themeColor="text1"/>
                <w:sz w:val="28"/>
                <w:szCs w:val="28"/>
                <w14:textFill>
                  <w14:solidFill>
                    <w14:schemeClr w14:val="tx1"/>
                  </w14:solidFill>
                </w14:textFill>
              </w:rPr>
              <w:t>收录：</w:t>
            </w:r>
            <w:r>
              <w:rPr>
                <w:rFonts w:eastAsia="仿宋_GB2312"/>
                <w:color w:val="000000" w:themeColor="text1"/>
                <w:sz w:val="28"/>
                <w:szCs w:val="28"/>
                <w14:textFill>
                  <w14:solidFill>
                    <w14:schemeClr w14:val="tx1"/>
                  </w14:solidFill>
                </w14:textFill>
              </w:rPr>
              <w:t>糖皮质激素长期应用可引起一系列不良反应</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其严重程度与用药剂量及用药时间成正比，可</w:t>
            </w:r>
            <w:r>
              <w:rPr>
                <w:rStyle w:val="6"/>
                <w:rFonts w:hint="default"/>
              </w:rPr>
              <w:t>诱发或加剧胃、十二指肠溃疡，甚至造成消化道大出血或穿孔，</w:t>
            </w:r>
            <w:r>
              <w:rPr>
                <w:rFonts w:eastAsia="仿宋_GB2312"/>
                <w:color w:val="000000" w:themeColor="text1"/>
                <w:sz w:val="28"/>
                <w:szCs w:val="28"/>
                <w14:textFill>
                  <w14:solidFill>
                    <w14:schemeClr w14:val="tx1"/>
                  </w14:solidFill>
                </w14:textFill>
              </w:rPr>
              <w:t>以泼尼松为例，糖皮质激素给药剂量大于0.5mg/kg每天时，可以给予PPI或H</w:t>
            </w:r>
            <w:r>
              <w:rPr>
                <w:rFonts w:eastAsia="仿宋_GB2312"/>
                <w:color w:val="000000" w:themeColor="text1"/>
                <w:sz w:val="28"/>
                <w:szCs w:val="28"/>
                <w:vertAlign w:val="subscript"/>
                <w14:textFill>
                  <w14:solidFill>
                    <w14:schemeClr w14:val="tx1"/>
                  </w14:solidFill>
                </w14:textFill>
              </w:rPr>
              <w:t>2</w:t>
            </w:r>
            <w:r>
              <w:rPr>
                <w:rFonts w:eastAsia="仿宋_GB2312"/>
                <w:color w:val="000000" w:themeColor="text1"/>
                <w:sz w:val="28"/>
                <w:szCs w:val="28"/>
                <w14:textFill>
                  <w14:solidFill>
                    <w14:schemeClr w14:val="tx1"/>
                  </w14:solidFill>
                </w14:textFill>
              </w:rPr>
              <w:t>受体胃粘膜保护剂</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七、</w:t>
            </w:r>
            <w:r>
              <w:rPr>
                <w:rFonts w:eastAsia="仿宋_GB2312"/>
                <w:b/>
                <w:color w:val="000000" w:themeColor="text1"/>
                <w:sz w:val="28"/>
                <w:szCs w:val="28"/>
                <w14:textFill>
                  <w14:solidFill>
                    <w14:schemeClr w14:val="tx1"/>
                  </w14:solidFill>
                </w14:textFill>
              </w:rPr>
              <w:t>急性胰腺炎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中华医学会消化病学分会胰腺疾病学组</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《中国急性胰腺炎诊治指南2013》收录</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质子泵抑制剂可通过抑制胃酸分泌而间接抑制胰酶分泌，还可预防应激性溃疡的发生。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推荐意见</w:t>
            </w:r>
          </w:p>
        </w:tc>
        <w:tc>
          <w:tcPr>
            <w:tcW w:w="8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1"/>
              <w:jc w:val="left"/>
              <w:textAlignment w:val="auto"/>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一</w:t>
            </w:r>
            <w:r>
              <w:rPr>
                <w:rFonts w:eastAsia="仿宋_GB2312"/>
                <w:b/>
                <w:color w:val="000000" w:themeColor="text1"/>
                <w:sz w:val="28"/>
                <w:szCs w:val="28"/>
                <w14:textFill>
                  <w14:solidFill>
                    <w14:schemeClr w14:val="tx1"/>
                  </w14:solidFill>
                </w14:textFill>
              </w:rPr>
              <w:t>、治疗用药</w:t>
            </w:r>
          </w:p>
          <w:p>
            <w:pPr>
              <w:keepNext w:val="0"/>
              <w:keepLines w:val="0"/>
              <w:pageBreakBefore w:val="0"/>
              <w:widowControl w:val="0"/>
              <w:kinsoku/>
              <w:wordWrap/>
              <w:overflowPunct/>
              <w:topLinePunct w:val="0"/>
              <w:autoSpaceDE/>
              <w:autoSpaceDN/>
              <w:bidi w:val="0"/>
              <w:adjustRightInd/>
              <w:snapToGrid/>
              <w:spacing w:line="460" w:lineRule="exact"/>
              <w:ind w:firstLine="561"/>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按说明书适应症</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疗程用药</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1"/>
              <w:jc w:val="left"/>
              <w:textAlignment w:val="auto"/>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二</w:t>
            </w:r>
            <w:r>
              <w:rPr>
                <w:rFonts w:eastAsia="仿宋_GB2312"/>
                <w:b/>
                <w:color w:val="000000" w:themeColor="text1"/>
                <w:sz w:val="28"/>
                <w:szCs w:val="28"/>
                <w14:textFill>
                  <w14:solidFill>
                    <w14:schemeClr w14:val="tx1"/>
                  </w14:solidFill>
                </w14:textFill>
              </w:rPr>
              <w:t>、预防用药</w:t>
            </w:r>
          </w:p>
          <w:p>
            <w:pPr>
              <w:keepNext w:val="0"/>
              <w:keepLines w:val="0"/>
              <w:pageBreakBefore w:val="0"/>
              <w:widowControl w:val="0"/>
              <w:kinsoku/>
              <w:wordWrap/>
              <w:overflowPunct/>
              <w:topLinePunct w:val="0"/>
              <w:autoSpaceDE/>
              <w:autoSpaceDN/>
              <w:bidi w:val="0"/>
              <w:adjustRightInd/>
              <w:snapToGrid/>
              <w:spacing w:line="460" w:lineRule="exact"/>
              <w:ind w:firstLine="561"/>
              <w:jc w:val="left"/>
              <w:textAlignment w:val="auto"/>
              <w:rPr>
                <w:rFonts w:eastAsia="仿宋_GB2312"/>
                <w:b/>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1.</w:t>
            </w:r>
            <w:r>
              <w:rPr>
                <w:rFonts w:eastAsia="仿宋_GB2312"/>
                <w:b/>
                <w:color w:val="000000" w:themeColor="text1"/>
                <w:sz w:val="28"/>
                <w:szCs w:val="28"/>
                <w14:textFill>
                  <w14:solidFill>
                    <w14:schemeClr w14:val="tx1"/>
                  </w14:solidFill>
                </w14:textFill>
              </w:rPr>
              <w:t>预防重症疾病（如脑出血、严重创伤等）应激状态及胃手术后引起的上消化道出血等</w:t>
            </w:r>
            <w:r>
              <w:rPr>
                <w:rFonts w:hint="eastAsia" w:eastAsia="仿宋_GB2312"/>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1"/>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原发病发生后，</w:t>
            </w:r>
            <w:r>
              <w:rPr>
                <w:rFonts w:hint="eastAsia" w:eastAsia="仿宋_GB2312"/>
                <w:color w:val="000000" w:themeColor="text1"/>
                <w:sz w:val="28"/>
                <w:szCs w:val="28"/>
                <w14:textFill>
                  <w14:solidFill>
                    <w14:schemeClr w14:val="tx1"/>
                  </w14:solidFill>
                </w14:textFill>
              </w:rPr>
              <w:t>每12小时</w:t>
            </w:r>
            <w:r>
              <w:rPr>
                <w:rFonts w:eastAsia="仿宋_GB2312"/>
                <w:color w:val="000000" w:themeColor="text1"/>
                <w:sz w:val="28"/>
                <w:szCs w:val="28"/>
                <w14:textFill>
                  <w14:solidFill>
                    <w14:schemeClr w14:val="tx1"/>
                  </w14:solidFill>
                </w14:textFill>
              </w:rPr>
              <w:t>一次</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疗程：至少连续3 d，当患者病情稳定，可耐受肠内营养或已进食，临床症状开始好转或转入普通病房后应将静脉用药转为口服用药并逐渐停药</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eastAsia="仿宋_GB2312"/>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2</w:t>
            </w:r>
            <w:r>
              <w:rPr>
                <w:rFonts w:ascii="仿宋_GB2312" w:hAnsi="Times New Roman" w:eastAsia="仿宋_GB2312" w:cs="Times New Roman"/>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急性食管胃静脉曲张出血合并胃黏膜病变或内镜治疗后的辅助治疗</w:t>
            </w:r>
            <w:r>
              <w:rPr>
                <w:rFonts w:hint="eastAsia" w:eastAsia="仿宋_GB2312"/>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静脉滴注，</w:t>
            </w:r>
            <w:r>
              <w:rPr>
                <w:rFonts w:hint="eastAsia" w:eastAsia="仿宋_GB2312"/>
                <w:color w:val="000000" w:themeColor="text1"/>
                <w:sz w:val="28"/>
                <w:szCs w:val="28"/>
                <w14:textFill>
                  <w14:solidFill>
                    <w14:schemeClr w14:val="tx1"/>
                  </w14:solidFill>
                </w14:textFill>
              </w:rPr>
              <w:t>每</w:t>
            </w:r>
            <w:r>
              <w:rPr>
                <w:rFonts w:eastAsia="仿宋_GB2312"/>
                <w:color w:val="000000" w:themeColor="text1"/>
                <w:sz w:val="28"/>
                <w:szCs w:val="28"/>
                <w14:textFill>
                  <w14:solidFill>
                    <w14:schemeClr w14:val="tx1"/>
                  </w14:solidFill>
                </w14:textFill>
              </w:rPr>
              <w:t>日1—2次；难控制的静脉曲张出血患者推荐PPI 8mg/h持续静脉点滴</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疗程：不超过72h</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eastAsia="仿宋_GB2312"/>
                <w:b/>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3</w:t>
            </w:r>
            <w:r>
              <w:rPr>
                <w:rFonts w:ascii="仿宋_GB2312" w:hAnsi="Times New Roman" w:eastAsia="仿宋_GB2312" w:cs="Times New Roman"/>
                <w:b/>
                <w:color w:val="000000" w:themeColor="text1"/>
                <w:sz w:val="28"/>
                <w:szCs w:val="28"/>
                <w14:textFill>
                  <w14:solidFill>
                    <w14:schemeClr w14:val="tx1"/>
                  </w14:solidFill>
                </w14:textFill>
              </w:rPr>
              <w:t>.胃</w:t>
            </w:r>
            <w:r>
              <w:rPr>
                <w:rFonts w:eastAsia="仿宋_GB2312"/>
                <w:b/>
                <w:color w:val="000000" w:themeColor="text1"/>
                <w:sz w:val="28"/>
                <w:szCs w:val="28"/>
                <w14:textFill>
                  <w14:solidFill>
                    <w14:schemeClr w14:val="tx1"/>
                  </w14:solidFill>
                </w14:textFill>
              </w:rPr>
              <w:t>ESD术后预防出血和促进人工溃疡愈合</w:t>
            </w:r>
            <w:r>
              <w:rPr>
                <w:rFonts w:hint="eastAsia" w:eastAsia="仿宋_GB2312"/>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疗程：2—3天后改为口服标准剂量PPI，早餐前半小时服药，疗程4—8周</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伴有ESD 术后迟发性出血危险因素的患者可酌情增加PPI用量、延长疗程或加用胃黏膜保护剂</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eastAsia="仿宋_GB2312"/>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4</w:t>
            </w:r>
            <w:r>
              <w:rPr>
                <w:rFonts w:ascii="仿宋_GB2312" w:hAnsi="Times New Roman" w:eastAsia="仿宋_GB2312" w:cs="Times New Roman"/>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预防抗血小板药物消化道损伤</w:t>
            </w:r>
            <w:r>
              <w:rPr>
                <w:rFonts w:hint="eastAsia" w:eastAsia="仿宋_GB2312"/>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疗程：高危患者6个月，6个月后改为H2受体拮抗剂或间断口服PPI</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eastAsia="仿宋_GB2312"/>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5</w:t>
            </w:r>
            <w:r>
              <w:rPr>
                <w:rFonts w:ascii="仿宋_GB2312" w:hAnsi="Times New Roman" w:eastAsia="仿宋_GB2312" w:cs="Times New Roman"/>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预防化疗所致呕吐</w:t>
            </w:r>
            <w:r>
              <w:rPr>
                <w:rFonts w:hint="eastAsia" w:eastAsia="仿宋_GB2312"/>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静脉化疗的使用中—高度催吐风险方案的，PPI与化疗方案伴随，可适当延长2—3天疗程，其余可预防使用PPI的情况，推荐仅化疗当天使用</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eastAsia="仿宋_GB2312"/>
                <w:b/>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6</w:t>
            </w:r>
            <w:r>
              <w:rPr>
                <w:rFonts w:ascii="仿宋_GB2312" w:hAnsi="Times New Roman" w:eastAsia="仿宋_GB2312" w:cs="Times New Roman"/>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预防大剂量糖皮质激素使用引起的胃粘膜损伤</w:t>
            </w:r>
            <w:r>
              <w:rPr>
                <w:rFonts w:hint="eastAsia" w:eastAsia="仿宋_GB2312"/>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与大剂量糖皮质激素（以泼尼松为例，糖皮质激素给药剂量大于0.5 mg/kg每天时）伴随给药</w:t>
            </w:r>
            <w:r>
              <w:rPr>
                <w:rFonts w:hint="eastAsia" w:eastAsia="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eastAsia="仿宋_GB2312"/>
                <w:b/>
                <w:color w:val="000000" w:themeColor="text1"/>
                <w:sz w:val="28"/>
                <w:szCs w:val="28"/>
                <w14:textFill>
                  <w14:solidFill>
                    <w14:schemeClr w14:val="tx1"/>
                  </w14:solidFill>
                </w14:textFill>
              </w:rPr>
            </w:pPr>
            <w:r>
              <w:rPr>
                <w:rFonts w:hint="eastAsia" w:ascii="仿宋_GB2312" w:hAnsi="Times New Roman" w:eastAsia="仿宋_GB2312" w:cs="Times New Roman"/>
                <w:b/>
                <w:color w:val="000000" w:themeColor="text1"/>
                <w:sz w:val="28"/>
                <w:szCs w:val="28"/>
                <w14:textFill>
                  <w14:solidFill>
                    <w14:schemeClr w14:val="tx1"/>
                  </w14:solidFill>
                </w14:textFill>
              </w:rPr>
              <w:t>7</w:t>
            </w:r>
            <w:r>
              <w:rPr>
                <w:rFonts w:ascii="仿宋_GB2312" w:hAnsi="Times New Roman" w:eastAsia="仿宋_GB2312" w:cs="Times New Roman"/>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急性胰腺炎</w:t>
            </w:r>
            <w:r>
              <w:rPr>
                <w:rFonts w:hint="eastAsia" w:eastAsia="仿宋_GB2312"/>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根据淀粉酶及脂肪酶情况酌情使用</w:t>
            </w:r>
            <w:r>
              <w:rPr>
                <w:rFonts w:hint="eastAsia" w:eastAsia="仿宋_GB2312"/>
                <w:color w:val="000000" w:themeColor="text1"/>
                <w:sz w:val="28"/>
                <w:szCs w:val="28"/>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管理要求</w:t>
            </w:r>
          </w:p>
        </w:tc>
        <w:tc>
          <w:tcPr>
            <w:tcW w:w="8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color w:val="000000" w:themeColor="text1"/>
                <w:sz w:val="28"/>
                <w:szCs w:val="28"/>
                <w:u w:val="wave" w:color="FF0000"/>
                <w14:textFill>
                  <w14:solidFill>
                    <w14:schemeClr w14:val="tx1"/>
                  </w14:solidFill>
                </w14:textFill>
              </w:rPr>
            </w:pPr>
            <w:r>
              <w:rPr>
                <w:rFonts w:hint="eastAsia" w:eastAsia="仿宋_GB2312"/>
                <w:color w:val="000000" w:themeColor="text1"/>
                <w:sz w:val="28"/>
                <w:szCs w:val="28"/>
                <w:u w:val="wave" w:color="FF0000"/>
                <w14:textFill>
                  <w14:solidFill>
                    <w14:schemeClr w14:val="tx1"/>
                  </w14:solidFill>
                </w14:textFill>
              </w:rPr>
              <w:t>一</w:t>
            </w:r>
            <w:r>
              <w:rPr>
                <w:rFonts w:eastAsia="仿宋_GB2312"/>
                <w:color w:val="000000" w:themeColor="text1"/>
                <w:sz w:val="28"/>
                <w:szCs w:val="28"/>
                <w:u w:val="wave" w:color="FF0000"/>
                <w14:textFill>
                  <w14:solidFill>
                    <w14:schemeClr w14:val="tx1"/>
                  </w14:solidFill>
                </w14:textFill>
              </w:rPr>
              <w:t>、</w:t>
            </w:r>
            <w:r>
              <w:rPr>
                <w:rFonts w:hint="eastAsia" w:eastAsia="仿宋_GB2312"/>
                <w:color w:val="000000" w:themeColor="text1"/>
                <w:sz w:val="28"/>
                <w:szCs w:val="28"/>
                <w:u w:val="wave" w:color="FF0000"/>
                <w14:textFill>
                  <w14:solidFill>
                    <w14:schemeClr w14:val="tx1"/>
                  </w14:solidFill>
                </w14:textFill>
              </w:rPr>
              <w:t>预防用药优先选用H2受体拮抗剂（H2RAs）；</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ascii="Times New Roman" w:hAnsi="Times New Roman" w:eastAsia="仿宋_GB2312" w:cs="Times New Roman"/>
                <w:color w:val="000000" w:themeColor="text1"/>
                <w:sz w:val="28"/>
                <w:szCs w:val="28"/>
                <w:u w:val="wave" w:color="FF0000"/>
                <w14:textFill>
                  <w14:solidFill>
                    <w14:schemeClr w14:val="tx1"/>
                  </w14:solidFill>
                </w14:textFill>
              </w:rPr>
            </w:pPr>
            <w:r>
              <w:rPr>
                <w:rFonts w:hint="eastAsia" w:eastAsia="仿宋_GB2312"/>
                <w:color w:val="000000" w:themeColor="text1"/>
                <w:sz w:val="28"/>
                <w:szCs w:val="28"/>
                <w:u w:val="wave" w:color="FF0000"/>
                <w14:textFill>
                  <w14:solidFill>
                    <w14:schemeClr w14:val="tx1"/>
                  </w14:solidFill>
                </w14:textFill>
              </w:rPr>
              <w:t>二</w:t>
            </w:r>
            <w:r>
              <w:rPr>
                <w:rFonts w:eastAsia="仿宋_GB2312"/>
                <w:color w:val="000000" w:themeColor="text1"/>
                <w:sz w:val="28"/>
                <w:szCs w:val="28"/>
                <w:u w:val="wave" w:color="FF0000"/>
                <w14:textFill>
                  <w14:solidFill>
                    <w14:schemeClr w14:val="tx1"/>
                  </w14:solidFill>
                </w14:textFill>
              </w:rPr>
              <w:t>、</w:t>
            </w:r>
            <w:r>
              <w:rPr>
                <w:rFonts w:hint="eastAsia" w:eastAsia="仿宋_GB2312"/>
                <w:color w:val="000000" w:themeColor="text1"/>
                <w:sz w:val="28"/>
                <w:szCs w:val="28"/>
                <w:u w:val="wave" w:color="FF0000"/>
                <w14:textFill>
                  <w14:solidFill>
                    <w14:schemeClr w14:val="tx1"/>
                  </w14:solidFill>
                </w14:textFill>
              </w:rPr>
              <w:t>使用PPI时优先选择口服剂型，明确</w:t>
            </w:r>
            <w:r>
              <w:rPr>
                <w:rFonts w:eastAsia="仿宋_GB2312"/>
                <w:color w:val="000000" w:themeColor="text1"/>
                <w:sz w:val="28"/>
                <w:szCs w:val="28"/>
                <w:u w:val="wave" w:color="FF0000"/>
                <w14:textFill>
                  <w14:solidFill>
                    <w14:schemeClr w14:val="tx1"/>
                  </w14:solidFill>
                </w14:textFill>
              </w:rPr>
              <w:t>不能使用口服剂型</w:t>
            </w:r>
            <w:r>
              <w:rPr>
                <w:rFonts w:hint="eastAsia" w:eastAsia="仿宋_GB2312"/>
                <w:color w:val="000000" w:themeColor="text1"/>
                <w:sz w:val="28"/>
                <w:szCs w:val="28"/>
                <w:u w:val="wave" w:color="FF0000"/>
                <w14:textFill>
                  <w14:solidFill>
                    <w14:schemeClr w14:val="tx1"/>
                  </w14:solidFill>
                </w14:textFill>
              </w:rPr>
              <w:t>时方可</w:t>
            </w:r>
            <w:r>
              <w:rPr>
                <w:rFonts w:eastAsia="仿宋_GB2312"/>
                <w:color w:val="000000" w:themeColor="text1"/>
                <w:sz w:val="28"/>
                <w:szCs w:val="28"/>
                <w:u w:val="wave" w:color="FF0000"/>
                <w14:textFill>
                  <w14:solidFill>
                    <w14:schemeClr w14:val="tx1"/>
                  </w14:solidFill>
                </w14:textFill>
              </w:rPr>
              <w:t>选择注射剂型</w:t>
            </w:r>
            <w:r>
              <w:rPr>
                <w:rFonts w:hint="eastAsia" w:eastAsia="仿宋_GB2312"/>
                <w:color w:val="000000" w:themeColor="text1"/>
                <w:sz w:val="28"/>
                <w:szCs w:val="28"/>
                <w:u w:val="wave" w:color="FF0000"/>
                <w14:textFill>
                  <w14:solidFill>
                    <w14:schemeClr w14:val="tx1"/>
                  </w14:solidFill>
                </w14:textFill>
              </w:rPr>
              <w:t>，医师</w:t>
            </w:r>
            <w:r>
              <w:rPr>
                <w:rFonts w:eastAsia="仿宋_GB2312"/>
                <w:color w:val="000000" w:themeColor="text1"/>
                <w:sz w:val="28"/>
                <w:szCs w:val="28"/>
                <w:u w:val="wave" w:color="FF0000"/>
                <w14:textFill>
                  <w14:solidFill>
                    <w14:schemeClr w14:val="tx1"/>
                  </w14:solidFill>
                </w14:textFill>
              </w:rPr>
              <w:t>应</w:t>
            </w:r>
            <w:r>
              <w:rPr>
                <w:rFonts w:hint="eastAsia" w:ascii="Times New Roman" w:hAnsi="Times New Roman" w:eastAsia="仿宋_GB2312" w:cs="Times New Roman"/>
                <w:color w:val="000000" w:themeColor="text1"/>
                <w:sz w:val="28"/>
                <w:szCs w:val="28"/>
                <w:u w:val="wave" w:color="FF0000"/>
                <w14:textFill>
                  <w14:solidFill>
                    <w14:schemeClr w14:val="tx1"/>
                  </w14:solidFill>
                </w14:textFill>
              </w:rPr>
              <w:t>根据患者病情变化，及时</w:t>
            </w:r>
            <w:r>
              <w:rPr>
                <w:rFonts w:ascii="Times New Roman" w:hAnsi="Times New Roman" w:eastAsia="仿宋_GB2312" w:cs="Times New Roman"/>
                <w:color w:val="000000" w:themeColor="text1"/>
                <w:sz w:val="28"/>
                <w:szCs w:val="28"/>
                <w:u w:val="wave" w:color="FF0000"/>
                <w14:textFill>
                  <w14:solidFill>
                    <w14:schemeClr w14:val="tx1"/>
                  </w14:solidFill>
                </w14:textFill>
              </w:rPr>
              <w:t>将</w:t>
            </w:r>
            <w:r>
              <w:rPr>
                <w:rFonts w:hint="eastAsia" w:ascii="Times New Roman" w:hAnsi="Times New Roman" w:eastAsia="仿宋_GB2312" w:cs="Times New Roman"/>
                <w:color w:val="000000" w:themeColor="text1"/>
                <w:sz w:val="28"/>
                <w:szCs w:val="28"/>
                <w:u w:val="wave" w:color="FF0000"/>
                <w14:textFill>
                  <w14:solidFill>
                    <w14:schemeClr w14:val="tx1"/>
                  </w14:solidFill>
                </w14:textFill>
              </w:rPr>
              <w:t>注射用药序贯调整为口服用药；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color w:val="000000" w:themeColor="text1"/>
                <w:sz w:val="28"/>
                <w:szCs w:val="28"/>
                <w:u w:val="wave" w:color="FF0000"/>
                <w14:textFill>
                  <w14:solidFill>
                    <w14:schemeClr w14:val="tx1"/>
                  </w14:solidFill>
                </w14:textFill>
              </w:rPr>
            </w:pPr>
            <w:r>
              <w:rPr>
                <w:rFonts w:hint="eastAsia" w:eastAsia="仿宋_GB2312"/>
                <w:color w:val="000000" w:themeColor="text1"/>
                <w:sz w:val="28"/>
                <w:szCs w:val="28"/>
                <w:u w:val="wave" w:color="FF0000"/>
                <w14:textFill>
                  <w14:solidFill>
                    <w14:schemeClr w14:val="tx1"/>
                  </w14:solidFill>
                </w14:textFill>
              </w:rPr>
              <w:t>三</w:t>
            </w:r>
            <w:r>
              <w:rPr>
                <w:rFonts w:eastAsia="仿宋_GB2312"/>
                <w:color w:val="000000" w:themeColor="text1"/>
                <w:sz w:val="28"/>
                <w:szCs w:val="28"/>
                <w:u w:val="wave" w:color="FF0000"/>
                <w14:textFill>
                  <w14:solidFill>
                    <w14:schemeClr w14:val="tx1"/>
                  </w14:solidFill>
                </w14:textFill>
              </w:rPr>
              <w:t>、</w:t>
            </w:r>
            <w:r>
              <w:rPr>
                <w:rFonts w:hint="eastAsia" w:eastAsia="仿宋_GB2312"/>
                <w:color w:val="000000" w:themeColor="text1"/>
                <w:sz w:val="28"/>
                <w:szCs w:val="28"/>
                <w:u w:val="wave" w:color="FF0000"/>
                <w14:textFill>
                  <w14:solidFill>
                    <w14:schemeClr w14:val="tx1"/>
                  </w14:solidFill>
                </w14:textFill>
              </w:rPr>
              <w:t>不同</w:t>
            </w:r>
            <w:r>
              <w:rPr>
                <w:rFonts w:eastAsia="仿宋_GB2312"/>
                <w:color w:val="000000" w:themeColor="text1"/>
                <w:sz w:val="28"/>
                <w:szCs w:val="28"/>
                <w:u w:val="wave" w:color="FF0000"/>
                <w14:textFill>
                  <w14:solidFill>
                    <w14:schemeClr w14:val="tx1"/>
                  </w14:solidFill>
                </w14:textFill>
              </w:rPr>
              <w:t>厂家的</w:t>
            </w:r>
            <w:r>
              <w:rPr>
                <w:rFonts w:hint="eastAsia" w:eastAsia="仿宋_GB2312"/>
                <w:color w:val="000000" w:themeColor="text1"/>
                <w:sz w:val="28"/>
                <w:szCs w:val="28"/>
                <w:u w:val="wave" w:color="FF0000"/>
                <w14:textFill>
                  <w14:solidFill>
                    <w14:schemeClr w14:val="tx1"/>
                  </w14:solidFill>
                </w14:textFill>
              </w:rPr>
              <w:t>PPI说明书适应症不</w:t>
            </w:r>
            <w:r>
              <w:rPr>
                <w:rFonts w:eastAsia="仿宋_GB2312"/>
                <w:color w:val="000000" w:themeColor="text1"/>
                <w:sz w:val="28"/>
                <w:szCs w:val="28"/>
                <w:u w:val="wave" w:color="FF0000"/>
                <w14:textFill>
                  <w14:solidFill>
                    <w14:schemeClr w14:val="tx1"/>
                  </w14:solidFill>
                </w14:textFill>
              </w:rPr>
              <w:t>一致，超说明书用药要按照医疗机构有关规定执行；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ascii="Times New Roman" w:hAnsi="Times New Roman" w:eastAsia="仿宋_GB2312"/>
                <w:color w:val="000000" w:themeColor="text1"/>
                <w:sz w:val="28"/>
                <w:szCs w:val="28"/>
                <w:u w:val="wave" w:color="FF0000"/>
                <w14:textFill>
                  <w14:solidFill>
                    <w14:schemeClr w14:val="tx1"/>
                  </w14:solidFill>
                </w14:textFill>
              </w:rPr>
            </w:pPr>
            <w:r>
              <w:rPr>
                <w:rFonts w:hint="eastAsia" w:ascii="Times New Roman" w:hAnsi="Times New Roman" w:eastAsia="仿宋_GB2312" w:cs="Times New Roman"/>
                <w:color w:val="000000" w:themeColor="text1"/>
                <w:sz w:val="28"/>
                <w:szCs w:val="28"/>
                <w:u w:val="wave" w:color="FF0000"/>
                <w14:textFill>
                  <w14:solidFill>
                    <w14:schemeClr w14:val="tx1"/>
                  </w14:solidFill>
                </w14:textFill>
              </w:rPr>
              <w:t>四</w:t>
            </w:r>
            <w:r>
              <w:rPr>
                <w:rFonts w:ascii="Times New Roman" w:hAnsi="Times New Roman" w:eastAsia="仿宋_GB2312" w:cs="Times New Roman"/>
                <w:color w:val="000000" w:themeColor="text1"/>
                <w:sz w:val="28"/>
                <w:szCs w:val="28"/>
                <w:u w:val="wave" w:color="FF0000"/>
                <w14:textFill>
                  <w14:solidFill>
                    <w14:schemeClr w14:val="tx1"/>
                  </w14:solidFill>
                </w14:textFill>
              </w:rPr>
              <w:t>、</w:t>
            </w:r>
            <w:r>
              <w:rPr>
                <w:rFonts w:hint="eastAsia" w:ascii="Times New Roman" w:hAnsi="Times New Roman" w:eastAsia="仿宋_GB2312" w:cs="Times New Roman"/>
                <w:color w:val="000000" w:themeColor="text1"/>
                <w:sz w:val="28"/>
                <w:szCs w:val="28"/>
                <w:u w:val="wave" w:color="FF0000"/>
                <w14:textFill>
                  <w14:solidFill>
                    <w14:schemeClr w14:val="tx1"/>
                  </w14:solidFill>
                </w14:textFill>
              </w:rPr>
              <w:t>预防性使用P</w:t>
            </w:r>
            <w:r>
              <w:rPr>
                <w:rFonts w:ascii="Times New Roman" w:hAnsi="Times New Roman" w:eastAsia="仿宋_GB2312" w:cs="Times New Roman"/>
                <w:color w:val="000000" w:themeColor="text1"/>
                <w:sz w:val="28"/>
                <w:szCs w:val="28"/>
                <w:u w:val="wave" w:color="FF0000"/>
                <w14:textFill>
                  <w14:solidFill>
                    <w14:schemeClr w14:val="tx1"/>
                  </w14:solidFill>
                </w14:textFill>
              </w:rPr>
              <w:t>PI</w:t>
            </w:r>
            <w:r>
              <w:rPr>
                <w:rFonts w:hint="eastAsia" w:ascii="Times New Roman" w:hAnsi="Times New Roman" w:eastAsia="仿宋_GB2312" w:cs="Times New Roman"/>
                <w:color w:val="000000" w:themeColor="text1"/>
                <w:sz w:val="28"/>
                <w:szCs w:val="28"/>
                <w:u w:val="wave" w:color="FF0000"/>
                <w14:textFill>
                  <w14:solidFill>
                    <w14:schemeClr w14:val="tx1"/>
                  </w14:solidFill>
                </w14:textFill>
              </w:rPr>
              <w:t>应</w:t>
            </w:r>
            <w:r>
              <w:rPr>
                <w:rFonts w:ascii="Times New Roman" w:hAnsi="Times New Roman" w:eastAsia="仿宋_GB2312" w:cs="Times New Roman"/>
                <w:color w:val="000000" w:themeColor="text1"/>
                <w:sz w:val="28"/>
                <w:szCs w:val="28"/>
                <w:u w:val="wave" w:color="FF0000"/>
                <w14:textFill>
                  <w14:solidFill>
                    <w14:schemeClr w14:val="tx1"/>
                  </w14:solidFill>
                </w14:textFill>
              </w:rPr>
              <w:t>严格</w:t>
            </w:r>
            <w:r>
              <w:rPr>
                <w:rFonts w:hint="eastAsia" w:ascii="Times New Roman" w:hAnsi="Times New Roman" w:eastAsia="仿宋_GB2312" w:cs="Times New Roman"/>
                <w:color w:val="000000" w:themeColor="text1"/>
                <w:sz w:val="28"/>
                <w:szCs w:val="28"/>
                <w:u w:val="wave" w:color="FF0000"/>
                <w14:textFill>
                  <w14:solidFill>
                    <w14:schemeClr w14:val="tx1"/>
                  </w14:solidFill>
                </w14:textFill>
              </w:rPr>
              <w:t>掌握使用</w:t>
            </w:r>
            <w:r>
              <w:rPr>
                <w:rFonts w:ascii="Times New Roman" w:hAnsi="Times New Roman" w:eastAsia="仿宋_GB2312" w:cs="Times New Roman"/>
                <w:color w:val="000000" w:themeColor="text1"/>
                <w:sz w:val="28"/>
                <w:szCs w:val="28"/>
                <w:u w:val="wave" w:color="FF0000"/>
                <w14:textFill>
                  <w14:solidFill>
                    <w14:schemeClr w14:val="tx1"/>
                  </w14:solidFill>
                </w14:textFill>
              </w:rPr>
              <w:t>指征</w:t>
            </w:r>
            <w:r>
              <w:rPr>
                <w:rFonts w:hint="eastAsia" w:ascii="Times New Roman" w:hAnsi="Times New Roman" w:eastAsia="仿宋_GB2312" w:cs="Times New Roman"/>
                <w:color w:val="000000" w:themeColor="text1"/>
                <w:sz w:val="28"/>
                <w:szCs w:val="28"/>
                <w:u w:val="wave" w:color="FF0000"/>
                <w14:textFill>
                  <w14:solidFill>
                    <w14:schemeClr w14:val="tx1"/>
                  </w14:solidFill>
                </w14:textFill>
              </w:rPr>
              <w:t>，并在病历</w:t>
            </w:r>
            <w:r>
              <w:rPr>
                <w:rFonts w:ascii="Times New Roman" w:hAnsi="Times New Roman" w:eastAsia="仿宋_GB2312" w:cs="Times New Roman"/>
                <w:color w:val="000000" w:themeColor="text1"/>
                <w:sz w:val="28"/>
                <w:szCs w:val="28"/>
                <w:u w:val="wave" w:color="FF0000"/>
                <w14:textFill>
                  <w14:solidFill>
                    <w14:schemeClr w14:val="tx1"/>
                  </w14:solidFill>
                </w14:textFill>
              </w:rPr>
              <w:t>中</w:t>
            </w:r>
            <w:r>
              <w:rPr>
                <w:rFonts w:hint="eastAsia" w:ascii="Times New Roman" w:hAnsi="Times New Roman" w:eastAsia="仿宋_GB2312" w:cs="Times New Roman"/>
                <w:color w:val="000000" w:themeColor="text1"/>
                <w:sz w:val="28"/>
                <w:szCs w:val="28"/>
                <w:u w:val="wave" w:color="FF0000"/>
                <w14:textFill>
                  <w14:solidFill>
                    <w14:schemeClr w14:val="tx1"/>
                  </w14:solidFill>
                </w14:textFill>
              </w:rPr>
              <w:t>详细</w:t>
            </w:r>
            <w:r>
              <w:rPr>
                <w:rFonts w:ascii="Times New Roman" w:hAnsi="Times New Roman" w:eastAsia="仿宋_GB2312" w:cs="Times New Roman"/>
                <w:color w:val="000000" w:themeColor="text1"/>
                <w:sz w:val="28"/>
                <w:szCs w:val="28"/>
                <w:u w:val="wave" w:color="FF0000"/>
                <w14:textFill>
                  <w14:solidFill>
                    <w14:schemeClr w14:val="tx1"/>
                  </w14:solidFill>
                </w14:textFill>
              </w:rPr>
              <w:t>分析</w:t>
            </w:r>
            <w:r>
              <w:rPr>
                <w:rFonts w:hint="eastAsia" w:ascii="Times New Roman" w:hAnsi="Times New Roman" w:eastAsia="仿宋_GB2312" w:cs="Times New Roman"/>
                <w:color w:val="000000" w:themeColor="text1"/>
                <w:sz w:val="28"/>
                <w:szCs w:val="28"/>
                <w:u w:val="wave" w:color="FF0000"/>
                <w14:textFill>
                  <w14:solidFill>
                    <w14:schemeClr w14:val="tx1"/>
                  </w14:solidFill>
                </w14:textFill>
              </w:rPr>
              <w:t>使用</w:t>
            </w:r>
            <w:r>
              <w:rPr>
                <w:rFonts w:ascii="Times New Roman" w:hAnsi="Times New Roman" w:eastAsia="仿宋_GB2312" w:cs="Times New Roman"/>
                <w:color w:val="000000" w:themeColor="text1"/>
                <w:sz w:val="28"/>
                <w:szCs w:val="28"/>
                <w:u w:val="wave" w:color="FF0000"/>
                <w14:textFill>
                  <w14:solidFill>
                    <w14:schemeClr w14:val="tx1"/>
                  </w14:solidFill>
                </w14:textFill>
              </w:rPr>
              <w:t>原因；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ascii="Times New Roman" w:hAnsi="Times New Roman" w:eastAsia="仿宋_GB2312"/>
                <w:color w:val="000000" w:themeColor="text1"/>
                <w:sz w:val="28"/>
                <w:szCs w:val="28"/>
                <w:u w:val="wave" w:color="FF0000"/>
                <w14:textFill>
                  <w14:solidFill>
                    <w14:schemeClr w14:val="tx1"/>
                  </w14:solidFill>
                </w14:textFill>
              </w:rPr>
            </w:pPr>
            <w:r>
              <w:rPr>
                <w:rFonts w:hint="eastAsia" w:ascii="Times New Roman" w:hAnsi="Times New Roman" w:eastAsia="仿宋_GB2312"/>
                <w:color w:val="000000" w:themeColor="text1"/>
                <w:sz w:val="28"/>
                <w:szCs w:val="28"/>
                <w:u w:val="wave" w:color="FF0000"/>
                <w14:textFill>
                  <w14:solidFill>
                    <w14:schemeClr w14:val="tx1"/>
                  </w14:solidFill>
                </w14:textFill>
              </w:rPr>
              <w:t>五</w:t>
            </w:r>
            <w:r>
              <w:rPr>
                <w:rFonts w:ascii="Times New Roman" w:hAnsi="Times New Roman" w:eastAsia="仿宋_GB2312"/>
                <w:color w:val="000000" w:themeColor="text1"/>
                <w:sz w:val="28"/>
                <w:szCs w:val="28"/>
                <w:u w:val="wave" w:color="FF0000"/>
                <w14:textFill>
                  <w14:solidFill>
                    <w14:schemeClr w14:val="tx1"/>
                  </w14:solidFill>
                </w14:textFill>
              </w:rPr>
              <w:t>、本管理细则</w:t>
            </w:r>
            <w:r>
              <w:rPr>
                <w:rFonts w:hint="eastAsia" w:ascii="Times New Roman" w:hAnsi="Times New Roman" w:eastAsia="仿宋_GB2312"/>
                <w:color w:val="000000" w:themeColor="text1"/>
                <w:sz w:val="28"/>
                <w:szCs w:val="28"/>
                <w:u w:val="wave" w:color="FF0000"/>
                <w14:textFill>
                  <w14:solidFill>
                    <w14:schemeClr w14:val="tx1"/>
                  </w14:solidFill>
                </w14:textFill>
              </w:rPr>
              <w:t>推荐</w:t>
            </w:r>
            <w:r>
              <w:rPr>
                <w:rFonts w:ascii="Times New Roman" w:hAnsi="Times New Roman" w:eastAsia="仿宋_GB2312"/>
                <w:color w:val="000000" w:themeColor="text1"/>
                <w:sz w:val="28"/>
                <w:szCs w:val="28"/>
                <w:u w:val="wave" w:color="FF0000"/>
                <w14:textFill>
                  <w14:solidFill>
                    <w14:schemeClr w14:val="tx1"/>
                  </w14:solidFill>
                </w14:textFill>
              </w:rPr>
              <w:t>意见</w:t>
            </w:r>
            <w:r>
              <w:rPr>
                <w:rFonts w:hint="eastAsia" w:ascii="Times New Roman" w:hAnsi="Times New Roman" w:eastAsia="仿宋_GB2312"/>
                <w:color w:val="000000" w:themeColor="text1"/>
                <w:sz w:val="28"/>
                <w:szCs w:val="28"/>
                <w:u w:val="wave" w:color="FF0000"/>
                <w14:textFill>
                  <w14:solidFill>
                    <w14:schemeClr w14:val="tx1"/>
                  </w14:solidFill>
                </w14:textFill>
              </w:rPr>
              <w:t>未提及</w:t>
            </w:r>
            <w:r>
              <w:rPr>
                <w:rFonts w:ascii="Times New Roman" w:hAnsi="Times New Roman" w:eastAsia="仿宋_GB2312"/>
                <w:color w:val="000000" w:themeColor="text1"/>
                <w:sz w:val="28"/>
                <w:szCs w:val="28"/>
                <w:u w:val="wave" w:color="FF0000"/>
                <w14:textFill>
                  <w14:solidFill>
                    <w14:schemeClr w14:val="tx1"/>
                  </w14:solidFill>
                </w14:textFill>
              </w:rPr>
              <w:t>的</w:t>
            </w:r>
            <w:r>
              <w:rPr>
                <w:rFonts w:hint="eastAsia" w:ascii="Times New Roman" w:hAnsi="Times New Roman" w:eastAsia="仿宋_GB2312"/>
                <w:color w:val="000000" w:themeColor="text1"/>
                <w:sz w:val="28"/>
                <w:szCs w:val="28"/>
                <w:u w:val="wave" w:color="FF0000"/>
                <w14:textFill>
                  <w14:solidFill>
                    <w14:schemeClr w14:val="tx1"/>
                  </w14:solidFill>
                </w14:textFill>
              </w:rPr>
              <w:t>预防</w:t>
            </w:r>
            <w:r>
              <w:rPr>
                <w:rFonts w:ascii="Times New Roman" w:hAnsi="Times New Roman" w:eastAsia="仿宋_GB2312"/>
                <w:color w:val="000000" w:themeColor="text1"/>
                <w:sz w:val="28"/>
                <w:szCs w:val="28"/>
                <w:u w:val="wave" w:color="FF0000"/>
                <w14:textFill>
                  <w14:solidFill>
                    <w14:schemeClr w14:val="tx1"/>
                  </w14:solidFill>
                </w14:textFill>
              </w:rPr>
              <w:t>使用</w:t>
            </w:r>
            <w:r>
              <w:rPr>
                <w:rFonts w:hint="eastAsia" w:ascii="Times New Roman" w:hAnsi="Times New Roman" w:eastAsia="仿宋_GB2312"/>
                <w:color w:val="000000" w:themeColor="text1"/>
                <w:sz w:val="28"/>
                <w:szCs w:val="28"/>
                <w:u w:val="wave" w:color="FF0000"/>
                <w14:textFill>
                  <w14:solidFill>
                    <w14:schemeClr w14:val="tx1"/>
                  </w14:solidFill>
                </w14:textFill>
              </w:rPr>
              <w:t>PPI用法</w:t>
            </w:r>
            <w:r>
              <w:rPr>
                <w:rFonts w:ascii="Times New Roman" w:hAnsi="Times New Roman" w:eastAsia="仿宋_GB2312"/>
                <w:color w:val="000000" w:themeColor="text1"/>
                <w:sz w:val="28"/>
                <w:szCs w:val="28"/>
                <w:u w:val="wave" w:color="FF0000"/>
                <w14:textFill>
                  <w14:solidFill>
                    <w14:schemeClr w14:val="tx1"/>
                  </w14:solidFill>
                </w14:textFill>
              </w:rPr>
              <w:t>，</w:t>
            </w:r>
            <w:r>
              <w:rPr>
                <w:rFonts w:hint="eastAsia" w:ascii="Times New Roman" w:hAnsi="Times New Roman" w:eastAsia="仿宋_GB2312"/>
                <w:color w:val="000000" w:themeColor="text1"/>
                <w:sz w:val="28"/>
                <w:szCs w:val="28"/>
                <w:u w:val="wave" w:color="FF0000"/>
                <w14:textFill>
                  <w14:solidFill>
                    <w14:schemeClr w14:val="tx1"/>
                  </w14:solidFill>
                </w14:textFill>
              </w:rPr>
              <w:t>如需</w:t>
            </w:r>
            <w:r>
              <w:rPr>
                <w:rFonts w:ascii="Times New Roman" w:hAnsi="Times New Roman" w:eastAsia="仿宋_GB2312"/>
                <w:color w:val="000000" w:themeColor="text1"/>
                <w:sz w:val="28"/>
                <w:szCs w:val="28"/>
                <w:u w:val="wave" w:color="FF0000"/>
                <w14:textFill>
                  <w14:solidFill>
                    <w14:schemeClr w14:val="tx1"/>
                  </w14:solidFill>
                </w14:textFill>
              </w:rPr>
              <w:t>使用需会诊</w:t>
            </w:r>
            <w:r>
              <w:rPr>
                <w:rFonts w:hint="eastAsia" w:ascii="Times New Roman" w:hAnsi="Times New Roman" w:eastAsia="仿宋_GB2312"/>
                <w:color w:val="000000" w:themeColor="text1"/>
                <w:sz w:val="28"/>
                <w:szCs w:val="28"/>
                <w:u w:val="wave" w:color="FF000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contextualSpacing/>
              <w:jc w:val="left"/>
              <w:textAlignment w:val="auto"/>
              <w:rPr>
                <w:rFonts w:ascii="仿宋_GB2312" w:hAnsi="Times New Roman" w:eastAsia="仿宋_GB2312" w:cs="Times New Roman"/>
                <w:kern w:val="0"/>
                <w:sz w:val="28"/>
                <w:szCs w:val="28"/>
                <w:u w:val="wave" w:color="FF0000"/>
              </w:rPr>
            </w:pPr>
            <w:r>
              <w:rPr>
                <w:rFonts w:hint="eastAsia" w:ascii="仿宋_GB2312" w:hAnsi="Times New Roman" w:eastAsia="仿宋_GB2312" w:cs="Times New Roman"/>
                <w:kern w:val="0"/>
                <w:sz w:val="28"/>
                <w:szCs w:val="28"/>
                <w:u w:val="wave" w:color="FF0000"/>
              </w:rPr>
              <w:t>六</w:t>
            </w:r>
            <w:r>
              <w:rPr>
                <w:rFonts w:ascii="仿宋_GB2312" w:hAnsi="Times New Roman" w:eastAsia="仿宋_GB2312" w:cs="Times New Roman"/>
                <w:kern w:val="0"/>
                <w:sz w:val="28"/>
                <w:szCs w:val="28"/>
                <w:u w:val="wave" w:color="FF0000"/>
              </w:rPr>
              <w:t>、</w:t>
            </w:r>
            <w:r>
              <w:rPr>
                <w:rFonts w:hint="eastAsia" w:ascii="仿宋_GB2312" w:hAnsi="Times New Roman" w:eastAsia="仿宋_GB2312" w:cs="Times New Roman"/>
                <w:kern w:val="0"/>
                <w:sz w:val="28"/>
                <w:szCs w:val="28"/>
                <w:u w:val="wave" w:color="FF0000"/>
              </w:rPr>
              <w:t>指南中</w:t>
            </w:r>
            <w:r>
              <w:rPr>
                <w:rFonts w:ascii="仿宋_GB2312" w:hAnsi="Times New Roman" w:eastAsia="仿宋_GB2312" w:cs="Times New Roman"/>
                <w:kern w:val="0"/>
                <w:sz w:val="28"/>
                <w:szCs w:val="28"/>
                <w:u w:val="wave" w:color="FF0000"/>
              </w:rPr>
              <w:t>提及的药品，均</w:t>
            </w:r>
            <w:r>
              <w:rPr>
                <w:rFonts w:hint="eastAsia" w:ascii="仿宋_GB2312" w:hAnsi="Times New Roman" w:eastAsia="仿宋_GB2312" w:cs="Times New Roman"/>
                <w:kern w:val="0"/>
                <w:sz w:val="28"/>
                <w:szCs w:val="28"/>
                <w:u w:val="wave" w:color="FF0000"/>
              </w:rPr>
              <w:t>应</w:t>
            </w:r>
            <w:r>
              <w:rPr>
                <w:rFonts w:ascii="仿宋_GB2312" w:hAnsi="Times New Roman" w:eastAsia="仿宋_GB2312" w:cs="Times New Roman"/>
                <w:kern w:val="0"/>
                <w:sz w:val="28"/>
                <w:szCs w:val="28"/>
                <w:u w:val="wave" w:color="FF0000"/>
              </w:rPr>
              <w:t>优先使用</w:t>
            </w:r>
            <w:r>
              <w:rPr>
                <w:rFonts w:hint="eastAsia" w:ascii="仿宋_GB2312" w:hAnsi="Times New Roman" w:eastAsia="仿宋_GB2312" w:cs="Times New Roman"/>
                <w:kern w:val="0"/>
                <w:sz w:val="28"/>
                <w:szCs w:val="28"/>
                <w:u w:val="wave" w:color="FF0000"/>
              </w:rPr>
              <w:t>国家</w:t>
            </w:r>
            <w:r>
              <w:rPr>
                <w:rFonts w:ascii="仿宋_GB2312" w:hAnsi="Times New Roman" w:eastAsia="仿宋_GB2312" w:cs="Times New Roman"/>
                <w:kern w:val="0"/>
                <w:sz w:val="28"/>
                <w:szCs w:val="28"/>
                <w:u w:val="wave" w:color="FF0000"/>
              </w:rPr>
              <w:t>基本药物；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eastAsia="仿宋_GB2312"/>
                <w:color w:val="000000" w:themeColor="text1"/>
                <w:sz w:val="28"/>
                <w:szCs w:val="28"/>
                <w14:textFill>
                  <w14:solidFill>
                    <w14:schemeClr w14:val="tx1"/>
                  </w14:solidFill>
                </w14:textFill>
              </w:rPr>
            </w:pPr>
            <w:r>
              <w:rPr>
                <w:rFonts w:eastAsia="仿宋_GB2312"/>
                <w:color w:val="000000" w:themeColor="text1"/>
                <w:sz w:val="28"/>
                <w:szCs w:val="28"/>
                <w:u w:val="wave" w:color="FF0000"/>
                <w14:textFill>
                  <w14:solidFill>
                    <w14:schemeClr w14:val="tx1"/>
                  </w14:solidFill>
                </w14:textFill>
              </w:rPr>
              <w:t>七、本药品不得外购，如需外购，需由主管院长签字确认</w:t>
            </w:r>
            <w:r>
              <w:rPr>
                <w:rFonts w:eastAsia="仿宋_GB2312"/>
                <w:color w:val="000000" w:themeColor="text1"/>
                <w:sz w:val="28"/>
                <w:szCs w:val="28"/>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13C08"/>
    <w:rsid w:val="0881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caption"/>
    <w:basedOn w:val="1"/>
    <w:next w:val="1"/>
    <w:qFormat/>
    <w:uiPriority w:val="35"/>
    <w:rPr>
      <w:rFonts w:ascii="Calibri Light" w:hAnsi="Calibri Light" w:eastAsia="等线" w:cs="Times New Roman"/>
      <w:b/>
      <w:sz w:val="24"/>
      <w:szCs w:val="20"/>
    </w:r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6">
    <w:name w:val="fontstyle01"/>
    <w:basedOn w:val="5"/>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2019-10-29T02:39:00Z</dcterms:created>
  <dc:creator>Administrator</dc:creator>
  <cp:lastModifiedBy>Administrator</cp:lastModifiedBy>
  <dcterms:modified xsi:type="dcterms:W3CDTF">2019-10-29T02:39:55Z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